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9A" w:rsidRPr="0075539A" w:rsidRDefault="0075539A" w:rsidP="0075539A">
      <w:pPr>
        <w:spacing w:after="0"/>
        <w:jc w:val="center"/>
        <w:rPr>
          <w:rFonts w:ascii="Book Antiqua" w:eastAsia="Times New Roman" w:hAnsi="Book Antiqua" w:cs="Book Antiqua"/>
          <w:b/>
          <w:bCs/>
          <w:sz w:val="28"/>
          <w:szCs w:val="28"/>
          <w:lang w:val="sq-AL"/>
        </w:rPr>
      </w:pPr>
      <w:bookmarkStart w:id="0" w:name="_GoBack"/>
      <w:bookmarkEnd w:id="0"/>
      <w:r w:rsidRPr="0075539A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716280" cy="7924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9A" w:rsidRPr="0075539A" w:rsidRDefault="0075539A" w:rsidP="0075539A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8"/>
          <w:szCs w:val="28"/>
          <w:lang w:val="sq-AL"/>
        </w:rPr>
      </w:pPr>
    </w:p>
    <w:p w:rsidR="0075539A" w:rsidRPr="0075539A" w:rsidRDefault="0075539A" w:rsidP="0075539A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sz w:val="28"/>
          <w:szCs w:val="24"/>
          <w:lang w:val="sq-AL"/>
        </w:rPr>
      </w:pPr>
      <w:r w:rsidRPr="0075539A">
        <w:rPr>
          <w:rFonts w:ascii="Book Antiqua" w:eastAsia="Times New Roman" w:hAnsi="Book Antiqua" w:cs="Book Antiqua"/>
          <w:b/>
          <w:bCs/>
          <w:sz w:val="28"/>
          <w:szCs w:val="24"/>
          <w:lang w:val="sq-AL"/>
        </w:rPr>
        <w:t>Republika Kosovo</w:t>
      </w:r>
    </w:p>
    <w:p w:rsidR="0075539A" w:rsidRPr="0075539A" w:rsidRDefault="0075539A" w:rsidP="0075539A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24"/>
          <w:szCs w:val="24"/>
          <w:lang w:val="sq-AL"/>
        </w:rPr>
      </w:pPr>
      <w:r w:rsidRPr="0075539A">
        <w:rPr>
          <w:rFonts w:ascii="Book Antiqua" w:eastAsia="Batang" w:hAnsi="Book Antiqua" w:cs="Book Antiqua"/>
          <w:b/>
          <w:bCs/>
          <w:sz w:val="24"/>
          <w:szCs w:val="24"/>
          <w:lang w:val="sq-AL"/>
        </w:rPr>
        <w:t xml:space="preserve">Republika Kosovo – </w:t>
      </w:r>
      <w:r w:rsidRPr="0075539A">
        <w:rPr>
          <w:rFonts w:ascii="Book Antiqua" w:eastAsia="Times New Roman" w:hAnsi="Book Antiqua" w:cs="Book Antiqua"/>
          <w:b/>
          <w:bCs/>
          <w:sz w:val="24"/>
          <w:szCs w:val="24"/>
          <w:lang w:val="sq-AL"/>
        </w:rPr>
        <w:t>Republika Kosovo</w:t>
      </w:r>
    </w:p>
    <w:p w:rsidR="0075539A" w:rsidRPr="0075539A" w:rsidRDefault="0075539A" w:rsidP="0075539A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i/>
          <w:iCs/>
          <w:sz w:val="24"/>
          <w:szCs w:val="24"/>
          <w:lang w:val="sq-AL"/>
        </w:rPr>
      </w:pPr>
      <w:r w:rsidRPr="0075539A">
        <w:rPr>
          <w:rFonts w:ascii="Book Antiqua" w:eastAsia="Times New Roman" w:hAnsi="Book Antiqua" w:cs="Book Antiqua"/>
          <w:b/>
          <w:bCs/>
          <w:i/>
          <w:iCs/>
          <w:sz w:val="24"/>
          <w:szCs w:val="24"/>
          <w:lang w:val="sq-AL"/>
        </w:rPr>
        <w:t>Vlada - Vlada - Vlada</w:t>
      </w:r>
    </w:p>
    <w:p w:rsidR="0075539A" w:rsidRPr="0075539A" w:rsidRDefault="0075539A" w:rsidP="0075539A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i/>
          <w:iCs/>
          <w:sz w:val="24"/>
          <w:szCs w:val="24"/>
          <w:lang w:val="sq-AL"/>
        </w:rPr>
      </w:pPr>
    </w:p>
    <w:p w:rsidR="0075539A" w:rsidRPr="0075539A" w:rsidRDefault="0075539A" w:rsidP="00755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 w:rsidRPr="0075539A">
        <w:rPr>
          <w:rFonts w:ascii="Book Antiqua" w:eastAsia="Times New Roman" w:hAnsi="Book Antiqua" w:cs="Times New Roman"/>
          <w:b/>
          <w:bCs/>
          <w:i/>
          <w:iCs/>
          <w:sz w:val="24"/>
          <w:szCs w:val="24"/>
          <w:lang w:val="sq-AL"/>
        </w:rPr>
        <w:t>Općina Lipljan</w:t>
      </w:r>
    </w:p>
    <w:p w:rsidR="0075539A" w:rsidRPr="0075539A" w:rsidRDefault="0075539A" w:rsidP="0075539A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AKCIJSKI PLAN PROTIV NAPUŠTANJA I NEUPISIVANJA U ŠKOLOVANJE</w:t>
      </w:r>
    </w:p>
    <w:p w:rsidR="0075539A" w:rsidRPr="0075539A" w:rsidRDefault="008D3263" w:rsidP="0075539A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q-AL"/>
        </w:rPr>
        <w:t>2024-26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</w:t>
      </w: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b/>
          <w:sz w:val="28"/>
          <w:szCs w:val="28"/>
          <w:lang w:val="sq-AL"/>
        </w:rPr>
        <w:lastRenderedPageBreak/>
        <w:t>sadržaj</w:t>
      </w: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Popis kratica …………………………………………………………………………………………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Uvod ………………………………………………………………………………………………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Kontekst................................................. ....................... …………………………………………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Svrha akcijskog plana…………………………………………………………………..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Ciljevi ................................................. ....................... …………………………………………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Dodatak................................................. .. ................................................ ............................................</w:t>
      </w: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b/>
          <w:sz w:val="28"/>
          <w:szCs w:val="28"/>
          <w:lang w:val="sq-AL"/>
        </w:rPr>
        <w:t>GLOSAR</w:t>
      </w: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================================================== = ==</w:t>
      </w: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MESTI 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Ministarstvo obrazovanja, znanosti, tehnologije i inovacija</w:t>
      </w:r>
    </w:p>
    <w:p w:rsidR="0075539A" w:rsidRPr="0075539A" w:rsidRDefault="0075539A" w:rsidP="00755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DKA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općinske uprave za obrazovanje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SMIA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Sustav upravljanja informacijama u obrazovanju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Tim za prevenciju i odgovor na odustajanje i neregistraciju 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EPRBM-a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Vijeće studenata 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KN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KP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Vijeće roditelja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KPAK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Odbor roditelja za obrazovanje Kosova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QPS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centar za socijalni rad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NGO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Nevladina organizacija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UNICEF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ab/>
        <w:t>Međunarodni dječji fond Ujedinjenih naroda</w:t>
      </w:r>
    </w:p>
    <w:p w:rsidR="0075539A" w:rsidRPr="0075539A" w:rsidRDefault="0075539A" w:rsidP="0075539A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ECMI 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Europski centar za manjinska pitanja</w:t>
      </w:r>
    </w:p>
    <w:p w:rsidR="0075539A" w:rsidRPr="0075539A" w:rsidRDefault="0075539A" w:rsidP="0075539A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Predgovor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Postoji niz međunarodnih konvencija i standarda koji zahtijevaju pristup i jednake mogućnosti u kvalitetnom obrazovanju, stoga je država dužna poduzeti sve potrebne mjere kako bi osigurala pravo na obrazovanje svim svojim građanima bez obzira na spol, etničku pripadnost, sposobnosti i dr. stanje.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Budući da govorimo o školama i učenicima/djeci preduniverzitetskog obrazovanja, mislimo isključivo na </w:t>
      </w:r>
      <w:r w:rsidRPr="0075539A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Konvenciju o pravima djeteta,</w:t>
      </w:r>
      <w:r w:rsidRPr="0075539A"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val="sq-AL"/>
        </w:rPr>
        <w:t xml:space="preserve"> </w:t>
      </w:r>
      <w:r w:rsidRPr="0075539A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kao ugovor koji sveobuhvatno pokriva prava djeteta u svakom kutku svijeta. Pozivajući se na osnovna načela ove konvencije, države vode nacionalne politike, stoga su temelj univerzalnih prava za svako dijete/pojedinca: 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Nediskriminacija,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Sudjelovanje, 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najbolji interes djeteta i</w:t>
      </w: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Razvoj punog potencijala.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Na temelju ovih načela odgojno-obrazovne ustanove trebaju voditi računa o participaciji i uključivosti u kvalitetnom obrazovanju, osiguravajući razvoj punog potencijala djece.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Ustav Republike Kosovo (članak 47.) i zakonodavstvo o obrazovanju jamče pravo na obrazovanje za svakoga, bez obzira na spol, etničku pripadnost, sposobnost ili drugi uvjet, na temelju ljudskih/djetetovih prava.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Važeći zakoni: Zakon o predškolskom obrazovanju, Zakon o preduniverzitetskom obrazovanju, Zakon o obrazovanju i stručnom osposobljavanju, Zakon o obrazovanju i osposobljavanju odraslih, Zakon o inspekciji obrazovanja na Kosovu, Zakon o obrazovanju u opštinama Republike Kosovo, itd., zajedno s pripadajućim podzakonskim aktima bavi se jednakim mogućnostima i sveobuhvatnim pristupom kvalitetnom obrazovanju.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Barijere različite prirode unutar obrazovnog sustava, posebice one pristupa obrazovanju, vezane uz mnoštvo individualnih, obiteljskih, društvenih čimbenika s različitim društvenim, ekonomskim, zdravstvenim i kulturnim kontekstima, zahtijevaju multidisciplinarni pristup, zato imamo i druge relevantne zakone kao što su: Zakon o socijalnim i obiteljskim uslugama, Privremeni zakon o kaznenom postupku, Zakon o policiji, Zakon o zdravstvu itd., koji uz propise i druge institucionalne mehanizme zahtijevaju našu punu suradnju kako bismo funkcionirali kao poveznice države u rješavanje problema s kojima se međusobno suočavaju</w:t>
      </w:r>
    </w:p>
    <w:p w:rsidR="0075539A" w:rsidRPr="0075539A" w:rsidRDefault="0075539A" w:rsidP="007553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>Obrazovno zakonodavstvo obvezuje odgovorne institucije kao što su: Ministarstvo obrazovanja, znanosti, tehnologije i inovacija, općine, obrazovne ustanove i zajednica, da poduzmu sve razumne korake kako bi obrazovne ustanove bile kvalitetne, sveobuhvatne, humane i sigurne, kako zahtijeva obrazovanje politike, uključujući standarde za prijateljske škole, nastavne planove i programe i svaku kariku obrazovnog sustava. Oni su niz podzakonskih akata koji pomažu u razvoju postupaka za osiguranje jednakog pristupa obrazovanju, provedbu važećih zakona.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Zatim imamo relevantne strateške dokumente koji daju prioritet sudjelovanju i inkluzivnosti u obrazovanju, kao i druge međusektorske strateške dokumente i standardne procedure koje se bave aspektima pristupa obrazovanju za žrtve trgovine ljudima, nasilja, kriminala i drugih okolnosti, kakve god one bile 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U funkciji provedbe ovih politika i posebno u rješavanju pitanja sudjelovanja u obrazovanju, ovim općinskim planom usmjeravamo pažnju na prevenciju i odgovor na upis i neupis u školu, kako bismo osigurali da sva djeca imaju koristi od obrazovnog sustava i razvijaju bridnu punu potencijal.</w:t>
      </w:r>
    </w:p>
    <w:p w:rsidR="0075539A" w:rsidRPr="0075539A" w:rsidRDefault="0075539A" w:rsidP="0075539A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tabs>
          <w:tab w:val="left" w:pos="6930"/>
        </w:tabs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5539A" w:rsidRPr="0075539A" w:rsidRDefault="0075539A" w:rsidP="0075539A">
      <w:pPr>
        <w:tabs>
          <w:tab w:val="left" w:pos="6930"/>
        </w:tabs>
        <w:spacing w:after="0" w:line="240" w:lineRule="exact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1B7871" w:rsidRDefault="001B7871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b/>
          <w:sz w:val="28"/>
          <w:szCs w:val="28"/>
          <w:lang w:val="sq-AL"/>
        </w:rPr>
        <w:t>kontekst</w:t>
      </w:r>
    </w:p>
    <w:p w:rsidR="0075539A" w:rsidRDefault="0075539A" w:rsidP="0075539A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 </w:t>
      </w:r>
    </w:p>
    <w:p w:rsidR="00895693" w:rsidRPr="005B0915" w:rsidRDefault="00895693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15">
        <w:rPr>
          <w:rFonts w:ascii="Times New Roman" w:eastAsia="MS Mincho" w:hAnsi="Times New Roman" w:cs="Times New Roman"/>
          <w:sz w:val="24"/>
          <w:szCs w:val="24"/>
          <w:lang w:val="sq-AL"/>
        </w:rPr>
        <w:lastRenderedPageBreak/>
        <w:t xml:space="preserve">Nastavni proces na području općine Lipjan organiziran je na temelju važećeg zakonodavstva, točnije u </w:t>
      </w:r>
      <w:r w:rsidR="00EC3115" w:rsidRPr="005B0915">
        <w:rPr>
          <w:rFonts w:ascii="Times New Roman" w:hAnsi="Times New Roman" w:cs="Times New Roman"/>
          <w:sz w:val="24"/>
          <w:szCs w:val="24"/>
        </w:rPr>
        <w:t>Zakonu br. 03/L040 za sebe Lokalni , zakon br. 03/L-068 za obrazovanje U OPĆINE republika OD Kosovo , Zakon br. 04/L-032 za obrazovanje Predsveučilišni U Republika Kosovo​ prema THE ČIJE BILO KOJI OSOBA NE usuditi se do pravo je uskraćeno U školovanje .</w:t>
      </w:r>
    </w:p>
    <w:p w:rsidR="00EC3115" w:rsidRPr="005B0915" w:rsidRDefault="00EC3115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15">
        <w:rPr>
          <w:rFonts w:ascii="Times New Roman" w:hAnsi="Times New Roman" w:cs="Times New Roman"/>
          <w:sz w:val="24"/>
          <w:szCs w:val="24"/>
        </w:rPr>
        <w:t xml:space="preserve">Dakle </w:t>
      </w:r>
      <w:r w:rsidR="00944752" w:rsidRPr="005B0915">
        <w:rPr>
          <w:rFonts w:ascii="Times New Roman" w:hAnsi="Times New Roman" w:cs="Times New Roman"/>
          <w:sz w:val="24"/>
          <w:szCs w:val="24"/>
        </w:rPr>
        <w:t>, imenik Općinsko obrazovanje U Lipljan TAMO OKO pogled stvaranje uvjeta​ OKO obrazovanje kvalitativni THE THE svi učenicima I napredak THE nastavio profesionalni THE UČITELJ, NASTAVNIK, PROFESOR U usklađenost s Okvirnim nastavnim planom i programom OD obrazovanje Predsveučilišni THE Kosovo .</w:t>
      </w:r>
    </w:p>
    <w:p w:rsidR="00944752" w:rsidRPr="005B0915" w:rsidRDefault="00944752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15">
        <w:rPr>
          <w:rFonts w:ascii="Times New Roman" w:hAnsi="Times New Roman" w:cs="Times New Roman"/>
          <w:sz w:val="24"/>
          <w:szCs w:val="24"/>
        </w:rPr>
        <w:t xml:space="preserve">U CoRe THE izvještavanje PO škola U Općina Lipjan , ispada da je u GODINA školske godine 2022./2023 BILO THE Prijavljen je 11571 učenik U THE svi uzimajući razine POČELO PO razina 0 do U 12. razred usustavljen </w:t>
      </w:r>
      <w:r w:rsidR="00106ABA" w:rsidRPr="005B0915">
        <w:rPr>
          <w:rFonts w:ascii="Times New Roman" w:hAnsi="Times New Roman" w:cs="Times New Roman"/>
          <w:sz w:val="24"/>
          <w:szCs w:val="24"/>
        </w:rPr>
        <w:t xml:space="preserve">u 24 škole PRIMARNO THE SREDNJI THE niska , 3 škole THE SREDNJI THE VIŠI I A institucija predškolski </w:t>
      </w:r>
      <w:r w:rsidR="00E9081B">
        <w:rPr>
          <w:rFonts w:ascii="Times New Roman" w:hAnsi="Times New Roman" w:cs="Times New Roman"/>
          <w:sz w:val="24"/>
          <w:szCs w:val="24"/>
        </w:rPr>
        <w:t xml:space="preserve">s pet paralelno THE ODVOJITI U pet sela . </w:t>
      </w:r>
      <w:r w:rsidR="00106ABA" w:rsidRPr="005B0915">
        <w:rPr>
          <w:rFonts w:ascii="Times New Roman" w:hAnsi="Times New Roman" w:cs="Times New Roman"/>
          <w:sz w:val="24"/>
          <w:szCs w:val="24"/>
        </w:rPr>
        <w:t>iz ovaj broj The POZADINA The ima 11.062 učenika ALBANIJA ili 95,6%; 453 su Aškalije ili 3,91%; 33 su Romi ili 0,28% i 23 su HRVATSKI ili 0,198 posto.</w:t>
      </w:r>
    </w:p>
    <w:p w:rsidR="00106ABA" w:rsidRPr="005B0915" w:rsidRDefault="00106ABA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15">
        <w:rPr>
          <w:rFonts w:ascii="Times New Roman" w:hAnsi="Times New Roman" w:cs="Times New Roman"/>
          <w:sz w:val="24"/>
          <w:szCs w:val="24"/>
        </w:rPr>
        <w:t>imati S OBZIROM DA PO Broj The POZADINA The učenicima oko 5% su PO Zajednice MALOPRODAJA</w:t>
      </w:r>
      <w:r w:rsidR="00C11CF0" w:rsidRPr="005B0915">
        <w:rPr>
          <w:rFonts w:ascii="Times New Roman" w:hAnsi="Times New Roman" w:cs="Times New Roman"/>
          <w:sz w:val="24"/>
          <w:szCs w:val="24"/>
        </w:rPr>
        <w:t xml:space="preserve"> I UTEMELJENO U SITUACIJA NE THE dobro ekonomsko- financijski  I DRUŠTVENO I poteškoće THE drugi JESU prijavio ukupno 69 učenika DA IMATI Odreći se obrazovanje .</w:t>
      </w:r>
    </w:p>
    <w:p w:rsidR="00C11CF0" w:rsidRPr="005B0915" w:rsidRDefault="00C11CF0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15">
        <w:rPr>
          <w:rFonts w:ascii="Times New Roman" w:hAnsi="Times New Roman" w:cs="Times New Roman"/>
          <w:sz w:val="24"/>
          <w:szCs w:val="24"/>
        </w:rPr>
        <w:t>Također​ JESU prijavio je 181 učenika s a RODITELJ ILI ili RODITELJ KAKO i 85 učenika s teškoćama u razvoju THE OGRANIČEN</w:t>
      </w:r>
    </w:p>
    <w:p w:rsidR="00C11CF0" w:rsidRDefault="00C11CF0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915">
        <w:rPr>
          <w:rFonts w:ascii="Times New Roman" w:hAnsi="Times New Roman" w:cs="Times New Roman"/>
          <w:sz w:val="24"/>
          <w:szCs w:val="24"/>
        </w:rPr>
        <w:t xml:space="preserve">Namjerno​ THE podrška </w:t>
      </w:r>
      <w:r w:rsidR="005B0915" w:rsidRPr="005B0915">
        <w:rPr>
          <w:rFonts w:ascii="Times New Roman" w:eastAsia="MS Mincho" w:hAnsi="Times New Roman" w:cs="Times New Roman"/>
          <w:sz w:val="24"/>
          <w:szCs w:val="24"/>
          <w:lang w:val="sq-AL"/>
        </w:rPr>
        <w:t>profesionalni</w:t>
      </w:r>
      <w:r w:rsidR="005B0915" w:rsidRPr="005B0915">
        <w:rPr>
          <w:rFonts w:ascii="Times New Roman" w:hAnsi="Times New Roman" w:cs="Times New Roman"/>
          <w:sz w:val="24"/>
          <w:szCs w:val="24"/>
        </w:rPr>
        <w:t xml:space="preserve"> THE</w:t>
      </w:r>
      <w:r w:rsidRPr="005B0915">
        <w:rPr>
          <w:rFonts w:ascii="Times New Roman" w:hAnsi="Times New Roman" w:cs="Times New Roman"/>
          <w:sz w:val="24"/>
          <w:szCs w:val="24"/>
        </w:rPr>
        <w:t xml:space="preserve"> ŠKOLA gdje JESU THE zapošljavala 1022 učitelja IZ THE od toga 459 muškaraca i 563 žene , DKA </w:t>
      </w:r>
      <w:r w:rsidR="00911305">
        <w:rPr>
          <w:rFonts w:ascii="Times New Roman" w:hAnsi="Times New Roman" w:cs="Times New Roman"/>
          <w:sz w:val="24"/>
          <w:szCs w:val="24"/>
        </w:rPr>
        <w:t>ima</w:t>
      </w:r>
      <w:r w:rsidRPr="005B0915">
        <w:rPr>
          <w:rFonts w:ascii="Times New Roman" w:hAnsi="Times New Roman" w:cs="Times New Roman"/>
          <w:sz w:val="24"/>
          <w:szCs w:val="24"/>
        </w:rPr>
        <w:t xml:space="preserve"> angažiran i 5 psihologa škola </w:t>
      </w:r>
      <w:r w:rsidR="005B0915" w:rsidRPr="005B0915">
        <w:rPr>
          <w:rFonts w:ascii="Times New Roman" w:hAnsi="Times New Roman" w:cs="Times New Roman"/>
          <w:sz w:val="24"/>
          <w:szCs w:val="24"/>
        </w:rPr>
        <w:t xml:space="preserve">, 1 logoped , 4 </w:t>
      </w:r>
      <w:r w:rsidRPr="005B0915">
        <w:rPr>
          <w:rFonts w:ascii="Times New Roman" w:hAnsi="Times New Roman" w:cs="Times New Roman"/>
          <w:sz w:val="24"/>
          <w:szCs w:val="24"/>
        </w:rPr>
        <w:t xml:space="preserve">pom OKO sposobna djeca THE ograničeni </w:t>
      </w:r>
      <w:r w:rsidR="005B0915" w:rsidRPr="005B0915">
        <w:rPr>
          <w:rFonts w:ascii="Times New Roman" w:hAnsi="Times New Roman" w:cs="Times New Roman"/>
          <w:sz w:val="24"/>
          <w:szCs w:val="24"/>
        </w:rPr>
        <w:t>, su podržan 4 Centar THE nastava dodatni U suradnja s nevladinim organizacijama , ŠTO surađivati blisko s timom općinski THE Evaluacija .</w:t>
      </w:r>
    </w:p>
    <w:p w:rsidR="002A7020" w:rsidRPr="005B0915" w:rsidRDefault="002A7020" w:rsidP="007553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 , za jer se DKA suočava s nedostatkom THE OSOBLJE THE dovoljno , ZATIM TAMO samo A automobil U DOSTUPNO THE imenik , postaje teško funkcioniranje The </w:t>
      </w:r>
      <w:r w:rsidRPr="005B0915">
        <w:rPr>
          <w:rFonts w:ascii="Times New Roman" w:eastAsia="Calibri" w:hAnsi="Times New Roman" w:cs="Times New Roman"/>
          <w:sz w:val="24"/>
          <w:szCs w:val="24"/>
          <w:lang w:val="sq-AL"/>
        </w:rPr>
        <w:t>općinski i školski EPRBM</w:t>
      </w:r>
    </w:p>
    <w:p w:rsidR="005B0915" w:rsidRDefault="005B0915" w:rsidP="007553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B0915">
        <w:rPr>
          <w:rFonts w:ascii="Times New Roman" w:hAnsi="Times New Roman" w:cs="Times New Roman"/>
          <w:sz w:val="24"/>
          <w:szCs w:val="24"/>
        </w:rPr>
        <w:lastRenderedPageBreak/>
        <w:t xml:space="preserve">također U </w:t>
      </w:r>
      <w:r w:rsidR="00C37B8C">
        <w:rPr>
          <w:rFonts w:ascii="Times New Roman" w:hAnsi="Times New Roman" w:cs="Times New Roman"/>
          <w:sz w:val="24"/>
          <w:szCs w:val="24"/>
        </w:rPr>
        <w:t>većina škola</w:t>
      </w:r>
      <w:r w:rsidR="003D21EE">
        <w:rPr>
          <w:rFonts w:ascii="Times New Roman" w:hAnsi="Times New Roman" w:cs="Times New Roman"/>
          <w:sz w:val="24"/>
          <w:szCs w:val="24"/>
        </w:rPr>
        <w:t xml:space="preserve"> funkcionalnost The</w:t>
      </w:r>
      <w:r w:rsidRPr="005B0915">
        <w:rPr>
          <w:rFonts w:ascii="Times New Roman" w:hAnsi="Times New Roman" w:cs="Times New Roman"/>
          <w:sz w:val="24"/>
          <w:szCs w:val="24"/>
        </w:rPr>
        <w:t xml:space="preserve"> timovi </w:t>
      </w:r>
      <w:r w:rsidR="003D21EE">
        <w:rPr>
          <w:rFonts w:ascii="Times New Roman" w:hAnsi="Times New Roman" w:cs="Times New Roman"/>
          <w:sz w:val="24"/>
          <w:szCs w:val="24"/>
        </w:rPr>
        <w:t>THE</w:t>
      </w:r>
      <w:r w:rsidRPr="005B0915">
        <w:rPr>
          <w:rFonts w:ascii="Times New Roman" w:hAnsi="Times New Roman" w:cs="Times New Roman"/>
          <w:sz w:val="24"/>
          <w:szCs w:val="24"/>
        </w:rPr>
        <w:t xml:space="preserve"> </w:t>
      </w:r>
      <w:r w:rsidRPr="005B0915">
        <w:rPr>
          <w:rFonts w:ascii="Times New Roman" w:eastAsia="Calibri" w:hAnsi="Times New Roman" w:cs="Times New Roman"/>
          <w:sz w:val="24"/>
          <w:szCs w:val="24"/>
          <w:lang w:val="sq-AL"/>
        </w:rPr>
        <w:t>EPRBM je suočen s brojnim izazovima, koji uključuju prirodu posla na terenu, potrebnu međuinstitucionalnu koordinaciju, kontinuirano usavršavanje timova, sastanke s roditeljima i učenicima i mnoge druge obveze, koje imaju i proračunske implikacije.</w:t>
      </w:r>
    </w:p>
    <w:p w:rsidR="00C821F3" w:rsidRDefault="00C821F3" w:rsidP="00C821F3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Iako </w:t>
      </w:r>
      <w:r w:rsidRPr="005B0915">
        <w:rPr>
          <w:rFonts w:ascii="Times New Roman" w:hAnsi="Times New Roman" w:cs="Times New Roman"/>
          <w:sz w:val="24"/>
          <w:szCs w:val="24"/>
        </w:rPr>
        <w:t>Zakon br. 04/L-032 za obrazovanje Predsveučilišni U Republika Kosovo​</w:t>
      </w:r>
      <w:r>
        <w:rPr>
          <w:rFonts w:ascii="Times New Roman" w:hAnsi="Times New Roman" w:cs="Times New Roman"/>
          <w:sz w:val="24"/>
          <w:szCs w:val="24"/>
        </w:rPr>
        <w:t xml:space="preserve"> predviđa obvezno obrazovanje ( školstvo</w:t>
      </w:r>
      <w:r>
        <w:t xml:space="preserve"> The OBAVEZNO POČINJE U POČETAK THE GODINA škola nakon datuma kada dijete DOLAZI dob šest (6) godina DA JE : Dob: minimum OKO obavezno školovanje I Završava na kraju​ razina 2 ISCE- a), </w:t>
      </w:r>
      <w:r w:rsidR="000B08DE">
        <w:t xml:space="preserve">do slučajeve napuštanja​ </w:t>
      </w:r>
      <w:r>
        <w:t>njegovu implementaciju  U praksa Hase U poteškoća OKO MNOGO razlog</w:t>
      </w:r>
    </w:p>
    <w:p w:rsidR="005B0915" w:rsidRPr="002A7020" w:rsidRDefault="005B0915" w:rsidP="002A7020">
      <w:pPr>
        <w:pStyle w:val="Header"/>
        <w:pBdr>
          <w:between w:val="single" w:sz="4" w:space="1" w:color="4F81BD"/>
        </w:pBd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B0915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U cilju što boljeg funkcioniranja ovih EPRBM-ova, radna skupina na općinskoj razini izradila je </w:t>
      </w:r>
      <w:r w:rsidR="002A7020">
        <w:rPr>
          <w:rFonts w:ascii="Times New Roman" w:hAnsi="Times New Roman"/>
          <w:sz w:val="24"/>
          <w:szCs w:val="24"/>
          <w:lang w:val="sq-AL"/>
        </w:rPr>
        <w:t xml:space="preserve">općinski akcijski plan protiv osipanja i neupisivanja u školu 2024.-26., koji uključuje </w:t>
      </w:r>
      <w:r w:rsidR="002A7020">
        <w:rPr>
          <w:rFonts w:ascii="Times New Roman" w:eastAsia="Calibri" w:hAnsi="Times New Roman" w:cs="Times New Roman"/>
          <w:sz w:val="24"/>
          <w:szCs w:val="24"/>
          <w:lang w:val="sq-AL"/>
        </w:rPr>
        <w:t>niz aktivnosti.</w:t>
      </w:r>
    </w:p>
    <w:p w:rsidR="00944752" w:rsidRPr="00EC3115" w:rsidRDefault="00944752" w:rsidP="0075539A">
      <w:pPr>
        <w:spacing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C429CB" w:rsidRDefault="00C429CB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C429CB" w:rsidRDefault="00C429CB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75539A" w:rsidRDefault="0075539A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2A7020" w:rsidRPr="0075539A" w:rsidRDefault="002A7020" w:rsidP="0075539A">
      <w:pPr>
        <w:tabs>
          <w:tab w:val="left" w:pos="693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</w:p>
    <w:p w:rsidR="001B7871" w:rsidRDefault="0075539A" w:rsidP="0075539A">
      <w:pPr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</w:p>
    <w:p w:rsidR="001B7871" w:rsidRDefault="001B7871" w:rsidP="0075539A">
      <w:pPr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1B7871" w:rsidRDefault="001B7871" w:rsidP="0075539A">
      <w:pPr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1B7871" w:rsidRDefault="001B7871" w:rsidP="0075539A">
      <w:pPr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1B7871" w:rsidRDefault="001B7871" w:rsidP="0075539A">
      <w:pPr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tabs>
          <w:tab w:val="left" w:pos="1080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sq-AL"/>
        </w:rPr>
      </w:pPr>
      <w:r w:rsidRPr="0075539A">
        <w:rPr>
          <w:rFonts w:ascii="Times New Roman" w:eastAsia="Calibri" w:hAnsi="Times New Roman" w:cs="Times New Roman"/>
          <w:b/>
          <w:sz w:val="28"/>
          <w:szCs w:val="28"/>
          <w:lang w:val="sq-AL"/>
        </w:rPr>
        <w:t>Svrha plana rada</w:t>
      </w: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Koordinacija međuinstitucionalnog djelovanja i jačanje kapaciteta na lokalnoj i školskoj razini u provedbi zakonskih obveza za prevenciju i odgovor na napuštanje školovanja i neupis, povećanje uključenosti djece u obrazovanje i smanjenje osipanja.</w:t>
      </w:r>
    </w:p>
    <w:p w:rsidR="0075539A" w:rsidRPr="0075539A" w:rsidRDefault="0075539A" w:rsidP="0075539A">
      <w:pPr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</w:p>
    <w:p w:rsidR="0075539A" w:rsidRPr="0075539A" w:rsidRDefault="0075539A" w:rsidP="0075539A">
      <w:pPr>
        <w:pBdr>
          <w:bottom w:val="double" w:sz="6" w:space="1" w:color="auto"/>
        </w:pBdr>
        <w:spacing w:after="0" w:line="240" w:lineRule="exact"/>
        <w:jc w:val="both"/>
        <w:rPr>
          <w:rFonts w:ascii="Book Antiqua" w:eastAsia="Calibri" w:hAnsi="Book Antiqua" w:cs="Times New Roman"/>
          <w:b/>
          <w:sz w:val="28"/>
          <w:szCs w:val="28"/>
          <w:lang w:val="sq-AL"/>
        </w:rPr>
      </w:pPr>
      <w:r w:rsidRPr="0075539A">
        <w:rPr>
          <w:rFonts w:ascii="Book Antiqua" w:eastAsia="Calibri" w:hAnsi="Book Antiqua" w:cs="Times New Roman"/>
          <w:b/>
          <w:sz w:val="28"/>
          <w:szCs w:val="28"/>
          <w:lang w:val="sq-AL"/>
        </w:rPr>
        <w:t>Ciljevi općinskog akcijskog plana</w:t>
      </w:r>
    </w:p>
    <w:p w:rsidR="0075539A" w:rsidRPr="0075539A" w:rsidRDefault="0075539A" w:rsidP="0075539A">
      <w:pPr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75539A" w:rsidRPr="0075539A" w:rsidRDefault="0075539A" w:rsidP="0075539A">
      <w:pPr>
        <w:numPr>
          <w:ilvl w:val="0"/>
          <w:numId w:val="7"/>
        </w:numPr>
        <w:spacing w:after="0" w:line="360" w:lineRule="auto"/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 xml:space="preserve">Opći cilj I 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: Prevencija i rana identifikacija učenika u riziku od napuštanja školovanja i pružanje odgovarajućih intervencija za njihovu podršku, kao što su savjetovanje, podrška i mentorstvo</w:t>
      </w: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>Specifični ciljevi:</w:t>
      </w:r>
    </w:p>
    <w:p w:rsidR="0075539A" w:rsidRPr="0075539A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Funkcionalizacija općinskih i školskih EPRBM-a, kao i kontinuirano praćenje napuštanja škole na općinskoj razini;</w:t>
      </w:r>
    </w:p>
    <w:p w:rsidR="0075539A" w:rsidRPr="0075539A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Međuinstitucionalna koordinacija i s razvojnim partnerima u potpori školskim aktivnostima;</w:t>
      </w:r>
    </w:p>
    <w:p w:rsidR="0075539A" w:rsidRPr="0075539A" w:rsidRDefault="0075539A" w:rsidP="0075539A">
      <w:pPr>
        <w:numPr>
          <w:ilvl w:val="1"/>
          <w:numId w:val="8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Praćenje akademskog i neakademskog napredovanja studenata i pružanje podrške po potrebi.</w:t>
      </w:r>
    </w:p>
    <w:p w:rsidR="0075539A" w:rsidRPr="0075539A" w:rsidRDefault="0075539A" w:rsidP="0075539A">
      <w:pPr>
        <w:numPr>
          <w:ilvl w:val="0"/>
          <w:numId w:val="7"/>
        </w:numPr>
        <w:spacing w:after="0" w:line="360" w:lineRule="auto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 xml:space="preserve">Opći cilj II 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: Smanjiti stopu napuštanja škole stvaranjem glatkog prijelaza iz niže srednje škole u višu srednju školu, na temelju prilika za karijeru koje odgovaraju sposobnostima i interesima učenika</w:t>
      </w: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 xml:space="preserve">Specifični ciljevi </w:t>
      </w: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:</w:t>
      </w: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2.1. Premošćivanje niže srednje škole i više srednje škole počevši od 6. razreda</w:t>
      </w: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2.2. Podizanje svijesti roditelja i učenika o usmjeravanju u profile prema djetetovim kompetencijama i interesima;</w:t>
      </w: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>2.3. Stvaranje partnerstva s lokalnim poduzećima za pružanje mogućnosti stažiranja, mentorskih programa i mogućnosti otvaranja radnih mjesta</w:t>
      </w:r>
    </w:p>
    <w:p w:rsidR="0075539A" w:rsidRPr="0075539A" w:rsidRDefault="0075539A" w:rsidP="0075539A">
      <w:pPr>
        <w:spacing w:after="0" w:line="360" w:lineRule="auto"/>
        <w:ind w:left="720"/>
        <w:jc w:val="both"/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lastRenderedPageBreak/>
        <w:t>2.4. Praćenje provedbe akcijskog plana.</w:t>
      </w:r>
    </w:p>
    <w:p w:rsidR="0075539A" w:rsidRPr="0075539A" w:rsidRDefault="0075539A" w:rsidP="0075539A">
      <w:pPr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Ovi ciljevi su detaljno razrađeni aktivnostima, indikatorima, rokovima, nositeljima i nositeljima, kao i planiranim proračunom, tako da se mogu lako pratiti u periodičnim fazama.</w:t>
      </w:r>
    </w:p>
    <w:p w:rsidR="0075539A" w:rsidRPr="0075539A" w:rsidRDefault="0075539A" w:rsidP="007553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Glavni prijavljeni rezultati:</w:t>
      </w:r>
    </w:p>
    <w:p w:rsidR="0075539A" w:rsidRPr="0075539A" w:rsidRDefault="0075539A" w:rsidP="00755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</w:p>
    <w:p w:rsidR="0075539A" w:rsidRPr="0075539A" w:rsidRDefault="0075539A" w:rsidP="00755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</w:p>
    <w:p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Pojačano praćenje i nadzor od strane inspekcije</w:t>
      </w:r>
    </w:p>
    <w:p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Funkcionalizacija EPRMB-a u Općini iu svim školama</w:t>
      </w:r>
    </w:p>
    <w:p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Na kraju svake godine tvrdimo konkretne rezultate za broj/postotak riješenih predmeta</w:t>
      </w:r>
    </w:p>
    <w:p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Odgovor na slučajeve nx. nenaveden i s mnogo izostanaka</w:t>
      </w:r>
    </w:p>
    <w:p w:rsidR="0075539A" w:rsidRPr="0075539A" w:rsidRDefault="0075539A" w:rsidP="0075539A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</w:pPr>
      <w:r w:rsidRPr="0075539A">
        <w:rPr>
          <w:rFonts w:ascii="Times New Roman" w:eastAsia="Times New Roman" w:hAnsi="Times New Roman" w:cs="Times New Roman"/>
          <w:sz w:val="24"/>
          <w:szCs w:val="24"/>
          <w:lang w:val="sq-AL" w:eastAsia="sr-Latn-CS"/>
        </w:rPr>
        <w:t>Povećanje kvalitete izvještavanja iz škola/smanjenje napuštanja škole</w:t>
      </w:r>
    </w:p>
    <w:p w:rsidR="0075539A" w:rsidRPr="0075539A" w:rsidRDefault="0075539A" w:rsidP="0075539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26353A" w:rsidRDefault="0075539A" w:rsidP="0026353A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b/>
          <w:sz w:val="24"/>
          <w:szCs w:val="24"/>
          <w:lang w:val="sq-AL"/>
        </w:rPr>
        <w:t>Budžetiranje:</w:t>
      </w:r>
    </w:p>
    <w:p w:rsidR="0075539A" w:rsidRPr="0026353A" w:rsidRDefault="0075539A" w:rsidP="0026353A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75539A">
        <w:rPr>
          <w:rFonts w:ascii="Times New Roman" w:eastAsia="Calibri" w:hAnsi="Times New Roman" w:cs="Times New Roman"/>
          <w:sz w:val="24"/>
          <w:szCs w:val="24"/>
          <w:lang w:val="sq-AL"/>
        </w:rPr>
        <w:t>Proračun predviđen ovim planom doseže do 22.100,00 €.</w:t>
      </w:r>
    </w:p>
    <w:p w:rsidR="0075539A" w:rsidRPr="0075539A" w:rsidRDefault="0075539A" w:rsidP="0075539A">
      <w:pPr>
        <w:rPr>
          <w:rFonts w:ascii="Book Antiqua" w:eastAsia="Calibri" w:hAnsi="Book Antiqua" w:cs="Times New Roman"/>
          <w:b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b/>
          <w:sz w:val="24"/>
          <w:szCs w:val="24"/>
          <w:lang w:val="sq-AL"/>
        </w:rPr>
        <w:t>Praćenje:</w:t>
      </w:r>
    </w:p>
    <w:p w:rsidR="0075539A" w:rsidRPr="0075539A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  <w:sectPr w:rsidR="0075539A" w:rsidRPr="0075539A" w:rsidSect="006E588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710" w:right="1440" w:bottom="1260" w:left="1440" w:header="706" w:footer="706" w:gutter="0"/>
          <w:cols w:space="708"/>
          <w:titlePg/>
          <w:docGrid w:linePitch="360"/>
        </w:sectPr>
      </w:pPr>
      <w:r w:rsidRPr="001059F8">
        <w:rPr>
          <w:rFonts w:ascii="Book Antiqua" w:eastAsia="Calibri" w:hAnsi="Book Antiqua" w:cs="Times New Roman"/>
          <w:sz w:val="24"/>
          <w:szCs w:val="24"/>
          <w:lang w:val="sq-AL"/>
        </w:rPr>
        <w:t>Provedbu ovog plana prati općinski EPRBM, koji godišnje izrađuje izvješće o provedbi plana. Ovaj akcijski plan pratit će i okvir za praćenje, koji će olakšati proces praćenja i izvještavanja u utvrđenim, šestomjesečnim i godišnjim rokovima.</w:t>
      </w:r>
    </w:p>
    <w:tbl>
      <w:tblPr>
        <w:tblW w:w="140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341"/>
        <w:gridCol w:w="2303"/>
        <w:gridCol w:w="630"/>
        <w:gridCol w:w="1080"/>
        <w:gridCol w:w="1080"/>
        <w:gridCol w:w="180"/>
        <w:gridCol w:w="990"/>
        <w:gridCol w:w="1530"/>
        <w:gridCol w:w="1800"/>
        <w:gridCol w:w="1350"/>
      </w:tblGrid>
      <w:tr w:rsidR="0075539A" w:rsidRPr="0075539A" w:rsidTr="006E5882">
        <w:trPr>
          <w:trHeight w:val="456"/>
        </w:trPr>
        <w:tc>
          <w:tcPr>
            <w:tcW w:w="14040" w:type="dxa"/>
            <w:gridSpan w:val="11"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lastRenderedPageBreak/>
              <w:t>Opći cilj 1. Jačanje EPRBM-a za prevenciju i ranu identifikaciju učenika u riziku od napuštanja školovanja i pružanje odgovarajućih intervencija za njihovu podršku, kao što su savjetovanje, podrška i mentorstvo</w:t>
            </w:r>
          </w:p>
        </w:tc>
      </w:tr>
      <w:tr w:rsidR="0075539A" w:rsidRPr="0075539A" w:rsidTr="006E5882">
        <w:trPr>
          <w:trHeight w:val="600"/>
        </w:trPr>
        <w:tc>
          <w:tcPr>
            <w:tcW w:w="14040" w:type="dxa"/>
            <w:gridSpan w:val="11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Specifični cilj 1.1: Funkcionalizacija općinskih i školskih EPRBM-ova, kao i kontinuirano praćenje osipanja na općinskoj razini</w:t>
            </w:r>
          </w:p>
        </w:tc>
      </w:tr>
      <w:tr w:rsidR="004956B8" w:rsidRPr="0075539A" w:rsidTr="004956B8">
        <w:trPr>
          <w:trHeight w:val="800"/>
        </w:trPr>
        <w:tc>
          <w:tcPr>
            <w:tcW w:w="756" w:type="dxa"/>
            <w:vMerge w:val="restart"/>
            <w:shd w:val="clear" w:color="auto" w:fill="DEEAF6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Ne.</w:t>
            </w:r>
          </w:p>
        </w:tc>
        <w:tc>
          <w:tcPr>
            <w:tcW w:w="2341" w:type="dxa"/>
            <w:vMerge w:val="restart"/>
            <w:shd w:val="clear" w:color="auto" w:fill="DEEAF6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AKTIVNOSTI</w:t>
            </w:r>
          </w:p>
        </w:tc>
        <w:tc>
          <w:tcPr>
            <w:tcW w:w="2933" w:type="dxa"/>
            <w:gridSpan w:val="2"/>
            <w:vMerge w:val="restart"/>
            <w:shd w:val="clear" w:color="auto" w:fill="DEEAF6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POKAZATELJI</w:t>
            </w:r>
          </w:p>
        </w:tc>
        <w:tc>
          <w:tcPr>
            <w:tcW w:w="3330" w:type="dxa"/>
            <w:gridSpan w:val="4"/>
            <w:shd w:val="clear" w:color="auto" w:fill="DEEAF6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Rok</w:t>
            </w:r>
          </w:p>
        </w:tc>
        <w:tc>
          <w:tcPr>
            <w:tcW w:w="1530" w:type="dxa"/>
            <w:vMerge w:val="restart"/>
            <w:shd w:val="clear" w:color="auto" w:fill="DEEAF6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Odgovorna institucija</w:t>
            </w:r>
          </w:p>
        </w:tc>
        <w:tc>
          <w:tcPr>
            <w:tcW w:w="1800" w:type="dxa"/>
            <w:vMerge w:val="restart"/>
            <w:shd w:val="clear" w:color="auto" w:fill="DEEAF6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Potporne institucije</w:t>
            </w:r>
          </w:p>
        </w:tc>
        <w:tc>
          <w:tcPr>
            <w:tcW w:w="1350" w:type="dxa"/>
            <w:vMerge w:val="restart"/>
            <w:shd w:val="clear" w:color="auto" w:fill="DEEAF6"/>
          </w:tcPr>
          <w:p w:rsidR="0075539A" w:rsidRPr="0075539A" w:rsidRDefault="00270803" w:rsidP="002A7933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PRORAČUN</w:t>
            </w:r>
          </w:p>
        </w:tc>
      </w:tr>
      <w:tr w:rsidR="002A7933" w:rsidRPr="0075539A" w:rsidTr="004956B8">
        <w:trPr>
          <w:trHeight w:val="521"/>
        </w:trPr>
        <w:tc>
          <w:tcPr>
            <w:tcW w:w="756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933" w:type="dxa"/>
            <w:gridSpan w:val="2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shd w:val="clear" w:color="auto" w:fill="DEEAF6"/>
          </w:tcPr>
          <w:p w:rsidR="0075539A" w:rsidRPr="0075539A" w:rsidRDefault="00FA393B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0" w:type="dxa"/>
            <w:shd w:val="clear" w:color="auto" w:fill="DEEAF6"/>
          </w:tcPr>
          <w:p w:rsidR="0075539A" w:rsidRPr="0075539A" w:rsidRDefault="00FA393B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170" w:type="dxa"/>
            <w:gridSpan w:val="2"/>
            <w:shd w:val="clear" w:color="auto" w:fill="DEEAF6"/>
          </w:tcPr>
          <w:p w:rsidR="0075539A" w:rsidRPr="0075539A" w:rsidRDefault="00FA393B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30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2A7933" w:rsidRPr="0075539A" w:rsidTr="004956B8">
        <w:trPr>
          <w:trHeight w:val="1151"/>
        </w:trPr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1.1.1</w:t>
            </w:r>
          </w:p>
        </w:tc>
        <w:tc>
          <w:tcPr>
            <w:tcW w:w="2341" w:type="dxa"/>
            <w:shd w:val="clear" w:color="auto" w:fill="auto"/>
          </w:tcPr>
          <w:p w:rsidR="0075539A" w:rsidRPr="00DF0419" w:rsidRDefault="0075539A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Funkcionalizacija općinskog EPRBM-a s redovitim sastancima i izvješćima</w:t>
            </w:r>
          </w:p>
        </w:tc>
        <w:tc>
          <w:tcPr>
            <w:tcW w:w="2933" w:type="dxa"/>
            <w:gridSpan w:val="2"/>
            <w:shd w:val="clear" w:color="auto" w:fill="auto"/>
          </w:tcPr>
          <w:p w:rsidR="0026353A" w:rsidRPr="00DF0419" w:rsidRDefault="00C37B8C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Odluka, zapisnik, dnevni red</w:t>
            </w:r>
          </w:p>
          <w:p w:rsidR="00C37B8C" w:rsidRPr="00DF0419" w:rsidRDefault="00C37B8C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sastanak</w:t>
            </w:r>
          </w:p>
          <w:p w:rsidR="00C37B8C" w:rsidRPr="00DF0419" w:rsidRDefault="00C37B8C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080" w:type="dxa"/>
            <w:shd w:val="clear" w:color="auto" w:fill="auto"/>
          </w:tcPr>
          <w:p w:rsidR="0075539A" w:rsidRPr="00FA393B" w:rsidRDefault="002A7020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siječanj-ožujak</w:t>
            </w:r>
          </w:p>
        </w:tc>
        <w:tc>
          <w:tcPr>
            <w:tcW w:w="1080" w:type="dxa"/>
            <w:shd w:val="clear" w:color="auto" w:fill="auto"/>
          </w:tcPr>
          <w:p w:rsidR="0075539A" w:rsidRPr="00FA393B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75539A" w:rsidRPr="00FA393B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shd w:val="clear" w:color="auto" w:fill="auto"/>
          </w:tcPr>
          <w:p w:rsidR="0075539A" w:rsidRPr="00FA393B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393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75539A" w:rsidRPr="00FA393B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393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Općina</w:t>
            </w:r>
          </w:p>
          <w:p w:rsidR="0075539A" w:rsidRPr="00FA393B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393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</w:tc>
        <w:tc>
          <w:tcPr>
            <w:tcW w:w="1350" w:type="dxa"/>
            <w:shd w:val="clear" w:color="auto" w:fill="auto"/>
          </w:tcPr>
          <w:p w:rsidR="0075539A" w:rsidRPr="00FA393B" w:rsidRDefault="00C37B8C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1500,00 €</w:t>
            </w: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1.1.2.</w:t>
            </w:r>
          </w:p>
        </w:tc>
        <w:tc>
          <w:tcPr>
            <w:tcW w:w="2341" w:type="dxa"/>
            <w:shd w:val="clear" w:color="auto" w:fill="auto"/>
          </w:tcPr>
          <w:p w:rsidR="0075539A" w:rsidRPr="00DF0419" w:rsidRDefault="00D157DA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Uspostavljeni su EPRBM timovi u svim školama preduniverzitetskog obrazovanja</w:t>
            </w:r>
          </w:p>
        </w:tc>
        <w:tc>
          <w:tcPr>
            <w:tcW w:w="2933" w:type="dxa"/>
            <w:gridSpan w:val="2"/>
            <w:shd w:val="clear" w:color="auto" w:fill="auto"/>
          </w:tcPr>
          <w:p w:rsidR="0075539A" w:rsidRPr="00DF0419" w:rsidRDefault="0075539A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Prijavljene su odluke školskog EPRBM sa zapisnicima i članovima timova u 27 škola, koje će se ponovno funkcionalizirati u školama u kojima je kretanje članova timova.</w:t>
            </w:r>
          </w:p>
        </w:tc>
        <w:tc>
          <w:tcPr>
            <w:tcW w:w="1080" w:type="dxa"/>
            <w:shd w:val="clear" w:color="auto" w:fill="auto"/>
          </w:tcPr>
          <w:p w:rsidR="0075539A" w:rsidRPr="00FA393B" w:rsidRDefault="00C37B8C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siječanj-ožujak</w:t>
            </w:r>
          </w:p>
        </w:tc>
        <w:tc>
          <w:tcPr>
            <w:tcW w:w="1080" w:type="dxa"/>
            <w:shd w:val="clear" w:color="auto" w:fill="auto"/>
          </w:tcPr>
          <w:p w:rsidR="0075539A" w:rsidRPr="00FA393B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75539A" w:rsidRPr="00FA393B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shd w:val="clear" w:color="auto" w:fill="auto"/>
          </w:tcPr>
          <w:p w:rsidR="0075539A" w:rsidRPr="00FA393B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393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75539A" w:rsidRPr="00FA393B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393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75539A" w:rsidRPr="00FA393B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393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75539A" w:rsidRPr="00FA393B" w:rsidRDefault="0026353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FA393B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</w:t>
            </w: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1.1.3</w:t>
            </w:r>
          </w:p>
        </w:tc>
        <w:tc>
          <w:tcPr>
            <w:tcW w:w="2341" w:type="dxa"/>
            <w:shd w:val="clear" w:color="auto" w:fill="auto"/>
          </w:tcPr>
          <w:p w:rsidR="002A7933" w:rsidRDefault="0075539A" w:rsidP="002A7933">
            <w:pPr>
              <w:spacing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Sesija podrške za općinski EPRBM.</w:t>
            </w:r>
          </w:p>
          <w:p w:rsidR="00270803" w:rsidRPr="00823CF4" w:rsidRDefault="002A7933" w:rsidP="002A7933">
            <w:pPr>
              <w:spacing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Informativni sastanci</w:t>
            </w:r>
          </w:p>
        </w:tc>
        <w:tc>
          <w:tcPr>
            <w:tcW w:w="2933" w:type="dxa"/>
            <w:gridSpan w:val="2"/>
            <w:shd w:val="clear" w:color="auto" w:fill="auto"/>
          </w:tcPr>
          <w:p w:rsidR="00DF6F48" w:rsidRPr="00823CF4" w:rsidRDefault="0075539A" w:rsidP="002A7933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Dnevni red, popis sudionika s vanjskim stručnjakom iz MONT-a/NVO (obuke)</w:t>
            </w:r>
          </w:p>
        </w:tc>
        <w:tc>
          <w:tcPr>
            <w:tcW w:w="1080" w:type="dxa"/>
            <w:shd w:val="clear" w:color="auto" w:fill="auto"/>
          </w:tcPr>
          <w:p w:rsidR="0075539A" w:rsidRPr="00823CF4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5539A" w:rsidRPr="00823CF4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75539A" w:rsidRPr="00823CF4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shd w:val="clear" w:color="auto" w:fill="auto"/>
          </w:tcPr>
          <w:p w:rsidR="0075539A" w:rsidRPr="00823CF4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75539A" w:rsidRPr="00823CF4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FA393B" w:rsidRPr="00823CF4" w:rsidRDefault="00FA393B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DONATORI</w:t>
            </w:r>
          </w:p>
          <w:p w:rsidR="0075539A" w:rsidRPr="00823CF4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26353A" w:rsidRPr="00823CF4" w:rsidRDefault="00FA393B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1500,00 €</w:t>
            </w:r>
          </w:p>
        </w:tc>
      </w:tr>
      <w:tr w:rsidR="002A7933" w:rsidRPr="0075539A" w:rsidTr="004956B8">
        <w:trPr>
          <w:trHeight w:val="2186"/>
        </w:trPr>
        <w:tc>
          <w:tcPr>
            <w:tcW w:w="756" w:type="dxa"/>
            <w:shd w:val="clear" w:color="auto" w:fill="auto"/>
          </w:tcPr>
          <w:p w:rsidR="0075539A" w:rsidRPr="0075539A" w:rsidRDefault="0075539A" w:rsidP="004956B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1.1.4</w:t>
            </w:r>
          </w:p>
        </w:tc>
        <w:tc>
          <w:tcPr>
            <w:tcW w:w="2341" w:type="dxa"/>
            <w:shd w:val="clear" w:color="auto" w:fill="auto"/>
          </w:tcPr>
          <w:p w:rsidR="0075539A" w:rsidRPr="00DF0419" w:rsidRDefault="0075539A" w:rsidP="004956B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Sesija podrške za školske EPRBM-ove</w:t>
            </w:r>
          </w:p>
        </w:tc>
        <w:tc>
          <w:tcPr>
            <w:tcW w:w="2933" w:type="dxa"/>
            <w:gridSpan w:val="2"/>
            <w:shd w:val="clear" w:color="auto" w:fill="auto"/>
          </w:tcPr>
          <w:p w:rsidR="00B62191" w:rsidRPr="00DF0419" w:rsidRDefault="0075539A" w:rsidP="004956B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Dnevni red, liste prisutnih, minimalno 4 sastanka godišnje</w:t>
            </w:r>
          </w:p>
          <w:p w:rsidR="00EE0F5A" w:rsidRPr="00DF0419" w:rsidRDefault="00EE0F5A" w:rsidP="004956B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Organizacija treninga za školske EPRBM timove</w:t>
            </w:r>
          </w:p>
          <w:p w:rsidR="00823CF4" w:rsidRPr="00DF0419" w:rsidRDefault="001A3295" w:rsidP="004956B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Osiguravanje materijala za organiziranje aktivnosti</w:t>
            </w:r>
          </w:p>
        </w:tc>
        <w:tc>
          <w:tcPr>
            <w:tcW w:w="1080" w:type="dxa"/>
            <w:shd w:val="clear" w:color="auto" w:fill="auto"/>
          </w:tcPr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shd w:val="clear" w:color="auto" w:fill="auto"/>
          </w:tcPr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DONATORI</w:t>
            </w:r>
          </w:p>
          <w:p w:rsidR="0026353A" w:rsidRPr="00823CF4" w:rsidRDefault="00EE0F5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3000,00 €</w:t>
            </w: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75539A" w:rsidRPr="0075539A" w:rsidRDefault="0075539A" w:rsidP="004956B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1.1.5.</w:t>
            </w:r>
          </w:p>
        </w:tc>
        <w:tc>
          <w:tcPr>
            <w:tcW w:w="2341" w:type="dxa"/>
            <w:shd w:val="clear" w:color="auto" w:fill="auto"/>
          </w:tcPr>
          <w:p w:rsidR="0075539A" w:rsidRPr="00DF0419" w:rsidRDefault="0075539A" w:rsidP="004956B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Pomoć školskim EPRBM-ima za korištenje SPH (sustav ranog upozoravanja)</w:t>
            </w:r>
          </w:p>
        </w:tc>
        <w:tc>
          <w:tcPr>
            <w:tcW w:w="2933" w:type="dxa"/>
            <w:gridSpan w:val="2"/>
            <w:shd w:val="clear" w:color="auto" w:fill="auto"/>
          </w:tcPr>
          <w:p w:rsidR="0075539A" w:rsidRPr="00DF0419" w:rsidRDefault="00B62191" w:rsidP="004956B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Ne. sastanaka, br. škola korisnica</w:t>
            </w:r>
          </w:p>
          <w:p w:rsidR="00D157DA" w:rsidRPr="00DF0419" w:rsidRDefault="00D157DA" w:rsidP="004956B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DF0419">
              <w:rPr>
                <w:rFonts w:ascii="Times New Roman" w:eastAsia="Calibri" w:hAnsi="Times New Roman" w:cs="Times New Roman"/>
                <w:lang w:val="sq-AL"/>
              </w:rPr>
              <w:t>Angažman učenika na terenu kao podrška školskim timovima (organizacija prijevoza i drugi troškovi)</w:t>
            </w:r>
          </w:p>
        </w:tc>
        <w:tc>
          <w:tcPr>
            <w:tcW w:w="1080" w:type="dxa"/>
            <w:shd w:val="clear" w:color="auto" w:fill="auto"/>
          </w:tcPr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75539A" w:rsidRPr="00823CF4" w:rsidRDefault="0075539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75539A" w:rsidRPr="00823CF4" w:rsidRDefault="00D157DA" w:rsidP="004956B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823CF4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1500,00 €</w:t>
            </w:r>
          </w:p>
        </w:tc>
      </w:tr>
      <w:tr w:rsidR="00DF0419" w:rsidRPr="0075539A" w:rsidTr="004956B8">
        <w:tc>
          <w:tcPr>
            <w:tcW w:w="756" w:type="dxa"/>
            <w:shd w:val="clear" w:color="auto" w:fill="auto"/>
          </w:tcPr>
          <w:p w:rsidR="00DF0419" w:rsidRDefault="00DF0419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DF0419" w:rsidRDefault="00DF0419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DF0419" w:rsidRDefault="00DF0419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DF0419" w:rsidRDefault="00DF0419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DF0419" w:rsidRDefault="00DF0419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DF0419" w:rsidRDefault="00DF0419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DF0419" w:rsidRPr="0075539A" w:rsidRDefault="00DF0419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shd w:val="clear" w:color="auto" w:fill="auto"/>
          </w:tcPr>
          <w:p w:rsidR="00DF0419" w:rsidRPr="00DF0419" w:rsidRDefault="00DF0419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2933" w:type="dxa"/>
            <w:gridSpan w:val="2"/>
            <w:shd w:val="clear" w:color="auto" w:fill="auto"/>
          </w:tcPr>
          <w:p w:rsidR="00DF0419" w:rsidRPr="00DF0419" w:rsidRDefault="00DF0419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1080" w:type="dxa"/>
            <w:shd w:val="clear" w:color="auto" w:fill="auto"/>
          </w:tcPr>
          <w:p w:rsidR="00DF0419" w:rsidRPr="00823CF4" w:rsidRDefault="00DF0419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shd w:val="clear" w:color="auto" w:fill="auto"/>
          </w:tcPr>
          <w:p w:rsidR="00DF0419" w:rsidRPr="00823CF4" w:rsidRDefault="00DF0419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DF0419" w:rsidRPr="00823CF4" w:rsidRDefault="00DF0419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shd w:val="clear" w:color="auto" w:fill="auto"/>
          </w:tcPr>
          <w:p w:rsidR="00DF0419" w:rsidRPr="00823CF4" w:rsidRDefault="00DF0419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DF0419" w:rsidRPr="00823CF4" w:rsidRDefault="00DF0419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shd w:val="clear" w:color="auto" w:fill="auto"/>
          </w:tcPr>
          <w:p w:rsidR="00DF0419" w:rsidRPr="00823CF4" w:rsidRDefault="00DF0419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75539A" w:rsidRPr="0075539A" w:rsidTr="006E5882">
        <w:trPr>
          <w:trHeight w:val="528"/>
        </w:trPr>
        <w:tc>
          <w:tcPr>
            <w:tcW w:w="14040" w:type="dxa"/>
            <w:gridSpan w:val="11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Specifični cilj 1.2: Međuinstitucionalna koordinacija i s razvojnim partnerima u potpori aktivnostima škola i učenika u potrebi</w:t>
            </w:r>
          </w:p>
        </w:tc>
      </w:tr>
      <w:tr w:rsidR="00A058D8" w:rsidRPr="0075539A" w:rsidTr="004956B8">
        <w:trPr>
          <w:trHeight w:val="540"/>
        </w:trPr>
        <w:tc>
          <w:tcPr>
            <w:tcW w:w="756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ind w:left="348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AKTIVNOSTI</w:t>
            </w:r>
          </w:p>
        </w:tc>
        <w:tc>
          <w:tcPr>
            <w:tcW w:w="2303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POKAZATELJI</w:t>
            </w:r>
          </w:p>
        </w:tc>
        <w:tc>
          <w:tcPr>
            <w:tcW w:w="3960" w:type="dxa"/>
            <w:gridSpan w:val="5"/>
            <w:shd w:val="clear" w:color="auto" w:fill="DEEAF6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Rok</w:t>
            </w:r>
          </w:p>
        </w:tc>
        <w:tc>
          <w:tcPr>
            <w:tcW w:w="1530" w:type="dxa"/>
            <w:vMerge w:val="restart"/>
            <w:shd w:val="clear" w:color="auto" w:fill="DEEAF6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Odgovorna institucija</w:t>
            </w:r>
          </w:p>
        </w:tc>
        <w:tc>
          <w:tcPr>
            <w:tcW w:w="1800" w:type="dxa"/>
            <w:vMerge w:val="restart"/>
            <w:shd w:val="clear" w:color="auto" w:fill="DEEAF6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Potporne institucije</w:t>
            </w:r>
          </w:p>
        </w:tc>
        <w:tc>
          <w:tcPr>
            <w:tcW w:w="1350" w:type="dxa"/>
            <w:vMerge w:val="restart"/>
            <w:shd w:val="clear" w:color="auto" w:fill="DEEAF6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PRORAČUN</w:t>
            </w:r>
          </w:p>
        </w:tc>
      </w:tr>
      <w:tr w:rsidR="002A7933" w:rsidRPr="0075539A" w:rsidTr="004956B8">
        <w:tc>
          <w:tcPr>
            <w:tcW w:w="756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gridSpan w:val="2"/>
            <w:shd w:val="clear" w:color="auto" w:fill="DEEAF6"/>
          </w:tcPr>
          <w:p w:rsidR="0075539A" w:rsidRPr="0075539A" w:rsidRDefault="00B62191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260" w:type="dxa"/>
            <w:gridSpan w:val="2"/>
            <w:shd w:val="clear" w:color="auto" w:fill="DEEAF6"/>
          </w:tcPr>
          <w:p w:rsidR="0075539A" w:rsidRPr="0075539A" w:rsidRDefault="00B62191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990" w:type="dxa"/>
            <w:shd w:val="clear" w:color="auto" w:fill="DEEAF6"/>
          </w:tcPr>
          <w:p w:rsidR="0075539A" w:rsidRPr="0075539A" w:rsidRDefault="00B62191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30" w:type="dxa"/>
            <w:vMerge/>
            <w:shd w:val="clear" w:color="auto" w:fill="auto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5539A" w:rsidRPr="0075539A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2A7933" w:rsidRPr="0075539A" w:rsidTr="004956B8">
        <w:trPr>
          <w:trHeight w:val="2942"/>
        </w:trPr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1.2.1</w:t>
            </w: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shd w:val="clear" w:color="auto" w:fill="auto"/>
          </w:tcPr>
          <w:p w:rsidR="0075539A" w:rsidRPr="004956B8" w:rsidRDefault="0075539A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Koordinacijski sastanci s partnerima</w:t>
            </w:r>
          </w:p>
        </w:tc>
        <w:tc>
          <w:tcPr>
            <w:tcW w:w="2303" w:type="dxa"/>
            <w:shd w:val="clear" w:color="auto" w:fill="auto"/>
          </w:tcPr>
          <w:p w:rsidR="0075539A" w:rsidRPr="004956B8" w:rsidRDefault="0075539A" w:rsidP="004956B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Ne. sastanaka, koji će se realizirati s najmanje 2 partnera unutar godine</w:t>
            </w:r>
          </w:p>
          <w:p w:rsidR="00A058D8" w:rsidRPr="004956B8" w:rsidRDefault="00A058D8" w:rsidP="004956B8">
            <w:pPr>
              <w:spacing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Rezultati: obrada postojećih podataka o broju odustalih; koordinacija aktivnosti podizanja svijesti za upis u škole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75539A" w:rsidRPr="00A058D8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058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5539A" w:rsidRPr="00A058D8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058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75539A" w:rsidRPr="00A058D8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058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75539A" w:rsidRPr="00A058D8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058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75539A" w:rsidRPr="00A058D8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058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75539A" w:rsidRPr="00A058D8" w:rsidRDefault="0075539A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058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75539A" w:rsidRPr="00A058D8" w:rsidRDefault="00A058D8" w:rsidP="002A7933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058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600,00 €</w:t>
            </w: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1.2.2</w:t>
            </w:r>
          </w:p>
        </w:tc>
        <w:tc>
          <w:tcPr>
            <w:tcW w:w="2341" w:type="dxa"/>
            <w:shd w:val="clear" w:color="auto" w:fill="auto"/>
          </w:tcPr>
          <w:p w:rsidR="0075539A" w:rsidRPr="004956B8" w:rsidRDefault="0075539A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Razvoj međusektorskih projekata (mjesni ured, ŽU, Ured gradonačelnika, DKA) u prevenciji negativnih pojava koje ugrožavaju redovito pohađanje nastave određenim skupinama učenika.</w:t>
            </w:r>
          </w:p>
        </w:tc>
        <w:tc>
          <w:tcPr>
            <w:tcW w:w="2303" w:type="dxa"/>
            <w:shd w:val="clear" w:color="auto" w:fill="auto"/>
          </w:tcPr>
          <w:p w:rsidR="0075539A" w:rsidRPr="004956B8" w:rsidRDefault="0075539A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Ne. projekata, aktivnosti podizanja svijesti (3 projekta za tri godine)</w:t>
            </w:r>
          </w:p>
          <w:p w:rsidR="0075539A" w:rsidRPr="004956B8" w:rsidRDefault="0075539A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Ne. škola korisnica (8 škola)</w:t>
            </w:r>
          </w:p>
          <w:p w:rsidR="0075539A" w:rsidRPr="004956B8" w:rsidRDefault="0075539A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Ne. učenika po dobitniku (ovisno o školskim izvješćima)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75539A" w:rsidRPr="00A058D8" w:rsidRDefault="00A058D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listopad-studeni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5539A" w:rsidRPr="00A058D8" w:rsidRDefault="00A058D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listopad - studeni</w:t>
            </w:r>
          </w:p>
        </w:tc>
        <w:tc>
          <w:tcPr>
            <w:tcW w:w="990" w:type="dxa"/>
            <w:shd w:val="clear" w:color="auto" w:fill="auto"/>
          </w:tcPr>
          <w:p w:rsidR="0075539A" w:rsidRPr="00A058D8" w:rsidRDefault="00A058D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listopad - studeni</w:t>
            </w:r>
          </w:p>
        </w:tc>
        <w:tc>
          <w:tcPr>
            <w:tcW w:w="1530" w:type="dxa"/>
            <w:shd w:val="clear" w:color="auto" w:fill="auto"/>
          </w:tcPr>
          <w:p w:rsidR="0075539A" w:rsidRPr="00A058D8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058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75539A" w:rsidRPr="00A058D8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058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Ostale općinske uprave</w:t>
            </w:r>
          </w:p>
          <w:p w:rsidR="0075539A" w:rsidRPr="00A058D8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058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75539A" w:rsidRPr="00A058D8" w:rsidRDefault="00A058D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A058D8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3000,00 €</w:t>
            </w:r>
          </w:p>
        </w:tc>
      </w:tr>
      <w:tr w:rsidR="002A7933" w:rsidRPr="00EE0F5A" w:rsidTr="004956B8"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1.2.3</w:t>
            </w:r>
          </w:p>
        </w:tc>
        <w:tc>
          <w:tcPr>
            <w:tcW w:w="2341" w:type="dxa"/>
            <w:shd w:val="clear" w:color="auto" w:fill="auto"/>
          </w:tcPr>
          <w:p w:rsidR="0075539A" w:rsidRPr="004956B8" w:rsidRDefault="0075539A" w:rsidP="001F7ACC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Podrška učenicima i drugi poticaji (nagrade) za poticanje na dosljedno školovanje.</w:t>
            </w:r>
          </w:p>
        </w:tc>
        <w:tc>
          <w:tcPr>
            <w:tcW w:w="2303" w:type="dxa"/>
            <w:shd w:val="clear" w:color="auto" w:fill="auto"/>
          </w:tcPr>
          <w:p w:rsidR="0075539A" w:rsidRPr="004956B8" w:rsidRDefault="001F7ACC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Financijska potpora (paket podrške ili subvencija) koju utvrđuju tim i škola</w:t>
            </w:r>
          </w:p>
          <w:p w:rsidR="00D05058" w:rsidRDefault="0075539A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Ne. studenata korisnika</w:t>
            </w:r>
          </w:p>
          <w:p w:rsidR="001F7ACC" w:rsidRPr="004956B8" w:rsidRDefault="001F7ACC" w:rsidP="00D0505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Mjesec solidarnosti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75539A" w:rsidRPr="00EE0F5A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E0F5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5539A" w:rsidRPr="00EE0F5A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E0F5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75539A" w:rsidRPr="00EE0F5A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E0F5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75539A" w:rsidRPr="00EE0F5A" w:rsidRDefault="001F7ACC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E0F5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Skupština općine</w:t>
            </w:r>
          </w:p>
          <w:p w:rsidR="001F7ACC" w:rsidRPr="00EE0F5A" w:rsidRDefault="001F7ACC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E0F5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DONATOR</w:t>
            </w:r>
          </w:p>
          <w:p w:rsidR="0075539A" w:rsidRPr="00EE0F5A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75539A" w:rsidRPr="00EE0F5A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EE0F5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75539A" w:rsidRPr="00EE0F5A" w:rsidRDefault="00DE0419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1000,00 €</w:t>
            </w: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75539A" w:rsidRPr="0075539A" w:rsidRDefault="001F7ACC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 xml:space="preserve">1.2.4 </w:t>
            </w:r>
            <w:r w:rsidR="0075539A"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.</w:t>
            </w:r>
          </w:p>
        </w:tc>
        <w:tc>
          <w:tcPr>
            <w:tcW w:w="2341" w:type="dxa"/>
            <w:shd w:val="clear" w:color="auto" w:fill="auto"/>
          </w:tcPr>
          <w:p w:rsidR="0075539A" w:rsidRPr="004956B8" w:rsidRDefault="00EE0F5A" w:rsidP="00C027B1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Područja svijesti za upis djece u predškolske i prve razrede</w:t>
            </w:r>
          </w:p>
        </w:tc>
        <w:tc>
          <w:tcPr>
            <w:tcW w:w="2303" w:type="dxa"/>
            <w:shd w:val="clear" w:color="auto" w:fill="auto"/>
          </w:tcPr>
          <w:p w:rsidR="00C027B1" w:rsidRPr="004956B8" w:rsidRDefault="00EE0F5A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Travanj Svibanj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75539A" w:rsidRPr="0075539A" w:rsidRDefault="00C027B1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5539A" w:rsidRPr="0075539A" w:rsidRDefault="00C027B1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75539A" w:rsidRPr="0075539A" w:rsidRDefault="00C027B1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75539A" w:rsidRPr="0075539A" w:rsidRDefault="00C027B1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75539A" w:rsidRPr="0075539A" w:rsidRDefault="00C027B1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DONATOR</w:t>
            </w:r>
          </w:p>
        </w:tc>
        <w:tc>
          <w:tcPr>
            <w:tcW w:w="1350" w:type="dxa"/>
            <w:shd w:val="clear" w:color="auto" w:fill="auto"/>
          </w:tcPr>
          <w:p w:rsidR="0075539A" w:rsidRPr="0075539A" w:rsidRDefault="00EE0F5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 xml:space="preserve">1500,00 </w:t>
            </w:r>
            <w:r w:rsidR="00C027B1"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  <w:t>€</w:t>
            </w:r>
          </w:p>
        </w:tc>
      </w:tr>
      <w:tr w:rsidR="0075539A" w:rsidRPr="0075539A" w:rsidTr="006E5882">
        <w:trPr>
          <w:trHeight w:val="468"/>
        </w:trPr>
        <w:tc>
          <w:tcPr>
            <w:tcW w:w="14040" w:type="dxa"/>
            <w:gridSpan w:val="11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Specifični cilj 1.3: Pratiti akademski i neakademski napredak učenika i pružiti im podršku kada je to potrebno.</w:t>
            </w:r>
          </w:p>
        </w:tc>
      </w:tr>
      <w:tr w:rsidR="00A058D8" w:rsidRPr="0075539A" w:rsidTr="004956B8">
        <w:trPr>
          <w:trHeight w:val="421"/>
        </w:trPr>
        <w:tc>
          <w:tcPr>
            <w:tcW w:w="756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AKTIVNOSTI</w:t>
            </w:r>
          </w:p>
        </w:tc>
        <w:tc>
          <w:tcPr>
            <w:tcW w:w="2303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POKAZATELJI</w:t>
            </w:r>
          </w:p>
        </w:tc>
        <w:tc>
          <w:tcPr>
            <w:tcW w:w="3960" w:type="dxa"/>
            <w:gridSpan w:val="5"/>
            <w:shd w:val="clear" w:color="auto" w:fill="DEEAF6"/>
          </w:tcPr>
          <w:p w:rsidR="0075539A" w:rsidRPr="0075539A" w:rsidRDefault="0075539A" w:rsidP="00E25CAA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Rok</w:t>
            </w:r>
          </w:p>
        </w:tc>
        <w:tc>
          <w:tcPr>
            <w:tcW w:w="153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Odgovorna institucija</w:t>
            </w:r>
          </w:p>
        </w:tc>
        <w:tc>
          <w:tcPr>
            <w:tcW w:w="180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Potporne institucije</w:t>
            </w:r>
          </w:p>
        </w:tc>
        <w:tc>
          <w:tcPr>
            <w:tcW w:w="135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PRORAČUN</w:t>
            </w:r>
          </w:p>
        </w:tc>
      </w:tr>
      <w:tr w:rsidR="002A7933" w:rsidRPr="0075539A" w:rsidTr="004956B8">
        <w:trPr>
          <w:trHeight w:val="432"/>
        </w:trPr>
        <w:tc>
          <w:tcPr>
            <w:tcW w:w="756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03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gridSpan w:val="2"/>
            <w:shd w:val="clear" w:color="auto" w:fill="DEEAF6"/>
          </w:tcPr>
          <w:p w:rsidR="0075539A" w:rsidRPr="0075539A" w:rsidRDefault="00DE0419" w:rsidP="00DF0419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0" w:type="dxa"/>
            <w:shd w:val="clear" w:color="auto" w:fill="DEEAF6"/>
          </w:tcPr>
          <w:p w:rsidR="0075539A" w:rsidRPr="0075539A" w:rsidRDefault="00DE0419" w:rsidP="00DF0419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170" w:type="dxa"/>
            <w:gridSpan w:val="2"/>
            <w:shd w:val="clear" w:color="auto" w:fill="DEEAF6"/>
          </w:tcPr>
          <w:p w:rsidR="0075539A" w:rsidRPr="0075539A" w:rsidRDefault="00DE0419" w:rsidP="00DF0419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30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2A7933" w:rsidRPr="0075539A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002D81" w:rsidRPr="0075539A" w:rsidRDefault="00002D81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1.3.1.</w:t>
            </w:r>
          </w:p>
        </w:tc>
        <w:tc>
          <w:tcPr>
            <w:tcW w:w="2341" w:type="dxa"/>
            <w:shd w:val="clear" w:color="auto" w:fill="auto"/>
          </w:tcPr>
          <w:p w:rsidR="00002D81" w:rsidRPr="004956B8" w:rsidRDefault="00002D81" w:rsidP="00D0505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kern w:val="2"/>
                <w:lang w:val="sq-AL"/>
              </w:rPr>
              <w:t>Izrada kumulativnog matičnog sustava za učenike od 6. do 9. razreda</w:t>
            </w:r>
          </w:p>
        </w:tc>
        <w:tc>
          <w:tcPr>
            <w:tcW w:w="2303" w:type="dxa"/>
            <w:shd w:val="clear" w:color="auto" w:fill="auto"/>
          </w:tcPr>
          <w:p w:rsidR="00002D81" w:rsidRPr="004956B8" w:rsidRDefault="00002D81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Registar razvijen.</w:t>
            </w:r>
          </w:p>
          <w:p w:rsidR="00002D81" w:rsidRPr="004956B8" w:rsidRDefault="00002D81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dokaz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02D81" w:rsidRPr="00DE0419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002D81" w:rsidRPr="00DE0419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02D81" w:rsidRPr="00DE0419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002D81" w:rsidRPr="00DE0419" w:rsidRDefault="00002D81" w:rsidP="00D05058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kliješta</w:t>
            </w:r>
          </w:p>
          <w:p w:rsidR="00002D81" w:rsidRPr="00DE0419" w:rsidRDefault="00002D81" w:rsidP="00D05058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  <w:p w:rsidR="00002D81" w:rsidRPr="00DE0419" w:rsidRDefault="00002D81" w:rsidP="00D05058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</w:tc>
        <w:tc>
          <w:tcPr>
            <w:tcW w:w="1800" w:type="dxa"/>
            <w:shd w:val="clear" w:color="auto" w:fill="auto"/>
          </w:tcPr>
          <w:p w:rsidR="00002D81" w:rsidRPr="00DE0419" w:rsidRDefault="00002D81" w:rsidP="00D05058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002D81" w:rsidRPr="00DE0419" w:rsidRDefault="00002D81" w:rsidP="00D05058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002D81" w:rsidRDefault="00002D81" w:rsidP="00D05058">
            <w:pPr>
              <w:spacing w:after="0" w:line="240" w:lineRule="auto"/>
            </w:pPr>
            <w:r w:rsidRPr="00EC70A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0,00 €</w:t>
            </w:r>
          </w:p>
        </w:tc>
      </w:tr>
      <w:tr w:rsidR="002A7933" w:rsidRPr="0075539A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002D81" w:rsidRPr="0075539A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1.3.2.</w:t>
            </w:r>
          </w:p>
        </w:tc>
        <w:tc>
          <w:tcPr>
            <w:tcW w:w="2341" w:type="dxa"/>
            <w:shd w:val="clear" w:color="auto" w:fill="auto"/>
          </w:tcPr>
          <w:p w:rsidR="00002D81" w:rsidRPr="004956B8" w:rsidRDefault="00002D81" w:rsidP="00002D8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kern w:val="2"/>
                <w:lang w:val="sq-AL"/>
              </w:rPr>
              <w:t>Pružanje obuke za nastavnike i školske administratore o tome kako održavati i koristiti sustav kumulativne evidencije;</w:t>
            </w:r>
          </w:p>
        </w:tc>
        <w:tc>
          <w:tcPr>
            <w:tcW w:w="2303" w:type="dxa"/>
            <w:shd w:val="clear" w:color="auto" w:fill="auto"/>
          </w:tcPr>
          <w:p w:rsidR="00002D81" w:rsidRPr="004956B8" w:rsidRDefault="00002D81" w:rsidP="00002D81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Razvijeni treninzi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02D81" w:rsidRPr="00DE0419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U studenom i travnju</w:t>
            </w:r>
          </w:p>
        </w:tc>
        <w:tc>
          <w:tcPr>
            <w:tcW w:w="1080" w:type="dxa"/>
            <w:shd w:val="clear" w:color="auto" w:fill="auto"/>
          </w:tcPr>
          <w:p w:rsidR="00002D81" w:rsidRPr="00DE0419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U studenom i travnju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02D81" w:rsidRPr="00DE0419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U studenom i travnju</w:t>
            </w:r>
          </w:p>
        </w:tc>
        <w:tc>
          <w:tcPr>
            <w:tcW w:w="1530" w:type="dxa"/>
            <w:shd w:val="clear" w:color="auto" w:fill="auto"/>
          </w:tcPr>
          <w:p w:rsidR="00002D81" w:rsidRPr="00DE0419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  <w:p w:rsidR="00002D81" w:rsidRPr="00DE0419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</w:tc>
        <w:tc>
          <w:tcPr>
            <w:tcW w:w="1800" w:type="dxa"/>
            <w:shd w:val="clear" w:color="auto" w:fill="auto"/>
          </w:tcPr>
          <w:p w:rsidR="00002D81" w:rsidRPr="00DE0419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002D81" w:rsidRDefault="00002D81" w:rsidP="00002D81">
            <w:r w:rsidRPr="00EC70A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0,00 €</w:t>
            </w:r>
          </w:p>
        </w:tc>
      </w:tr>
      <w:tr w:rsidR="002A7933" w:rsidRPr="0075539A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002D81" w:rsidRPr="0075539A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1.3.3</w:t>
            </w:r>
          </w:p>
        </w:tc>
        <w:tc>
          <w:tcPr>
            <w:tcW w:w="2341" w:type="dxa"/>
            <w:shd w:val="clear" w:color="auto" w:fill="auto"/>
          </w:tcPr>
          <w:p w:rsidR="00002D81" w:rsidRPr="004956B8" w:rsidRDefault="00002D81" w:rsidP="00002D81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kern w:val="2"/>
                <w:lang w:val="sq-AL"/>
              </w:rPr>
              <w:t>Redoviti sastanci s roditeljima, učiteljima i školskim upraviteljima kako bi se pregledao akademski i neakademski napredak učenika od strane gradonačelnika</w:t>
            </w:r>
          </w:p>
        </w:tc>
        <w:tc>
          <w:tcPr>
            <w:tcW w:w="2303" w:type="dxa"/>
            <w:shd w:val="clear" w:color="auto" w:fill="auto"/>
          </w:tcPr>
          <w:p w:rsidR="00002D81" w:rsidRPr="004956B8" w:rsidRDefault="00002D81" w:rsidP="00002D81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Održani sastanci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02D81" w:rsidRPr="00DE0419" w:rsidRDefault="00002D81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002D81" w:rsidRPr="00DE0419" w:rsidRDefault="00002D81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02D81" w:rsidRPr="00DE0419" w:rsidRDefault="00002D81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002D81" w:rsidRPr="00DE0419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002D81" w:rsidRPr="00DE0419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002D81" w:rsidRPr="00DE0419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350" w:type="dxa"/>
            <w:shd w:val="clear" w:color="auto" w:fill="auto"/>
          </w:tcPr>
          <w:p w:rsidR="00002D81" w:rsidRDefault="00002D81" w:rsidP="00002D81">
            <w:r w:rsidRPr="00EC70A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0,00 €</w:t>
            </w:r>
          </w:p>
        </w:tc>
      </w:tr>
      <w:tr w:rsidR="002A7933" w:rsidRPr="0075539A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1.3.4</w:t>
            </w:r>
          </w:p>
        </w:tc>
        <w:tc>
          <w:tcPr>
            <w:tcW w:w="2341" w:type="dxa"/>
            <w:shd w:val="clear" w:color="auto" w:fill="auto"/>
          </w:tcPr>
          <w:p w:rsidR="0075539A" w:rsidRPr="004956B8" w:rsidRDefault="0075539A" w:rsidP="0075539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kern w:val="2"/>
                <w:lang w:val="sq-AL"/>
              </w:rPr>
              <w:t>Osiguravanje sredstava za aktivnosti podrške studentima koji imaju akademskih ili osobnih poteškoća;</w:t>
            </w:r>
          </w:p>
        </w:tc>
        <w:tc>
          <w:tcPr>
            <w:tcW w:w="2303" w:type="dxa"/>
            <w:shd w:val="clear" w:color="auto" w:fill="auto"/>
          </w:tcPr>
          <w:p w:rsidR="0075539A" w:rsidRPr="004956B8" w:rsidRDefault="00DA3954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Podijeljeni proračun</w:t>
            </w:r>
          </w:p>
          <w:p w:rsidR="00DA3954" w:rsidRPr="004956B8" w:rsidRDefault="00DA3954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Realizirane aktivnosti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75539A" w:rsidRPr="00DE0419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5539A" w:rsidRPr="00DE0419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75539A" w:rsidRPr="00DE0419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75539A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  <w:p w:rsidR="00DA3954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</w:tc>
        <w:tc>
          <w:tcPr>
            <w:tcW w:w="1800" w:type="dxa"/>
            <w:shd w:val="clear" w:color="auto" w:fill="auto"/>
          </w:tcPr>
          <w:p w:rsidR="0075539A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DA3954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MF</w:t>
            </w:r>
          </w:p>
        </w:tc>
        <w:tc>
          <w:tcPr>
            <w:tcW w:w="1350" w:type="dxa"/>
            <w:shd w:val="clear" w:color="auto" w:fill="auto"/>
          </w:tcPr>
          <w:p w:rsidR="0075539A" w:rsidRPr="00DE0419" w:rsidRDefault="00DE0419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1000,00 €</w:t>
            </w:r>
          </w:p>
        </w:tc>
      </w:tr>
      <w:tr w:rsidR="002A7933" w:rsidRPr="0075539A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1.3.5.</w:t>
            </w:r>
          </w:p>
        </w:tc>
        <w:tc>
          <w:tcPr>
            <w:tcW w:w="2341" w:type="dxa"/>
            <w:shd w:val="clear" w:color="auto" w:fill="auto"/>
          </w:tcPr>
          <w:p w:rsidR="0075539A" w:rsidRPr="004956B8" w:rsidRDefault="0075539A" w:rsidP="0075539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kern w:val="2"/>
                <w:lang w:val="sq-AL"/>
              </w:rPr>
              <w:t>Provedba nacionalnog sustava za prepoznavanje i rješavanje čimbenika rizika za napuštanje škole, kao što su izostanci iz škole, loš akademski uspjeh i problemi u ponašanju.</w:t>
            </w:r>
          </w:p>
        </w:tc>
        <w:tc>
          <w:tcPr>
            <w:tcW w:w="2303" w:type="dxa"/>
            <w:shd w:val="clear" w:color="auto" w:fill="auto"/>
          </w:tcPr>
          <w:p w:rsidR="0075539A" w:rsidRPr="004956B8" w:rsidRDefault="00DA3954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SPH funkcionalan i upotrebljiv u svim školama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75539A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5539A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75539A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75539A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DA3954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75539A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DA3954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75539A" w:rsidRPr="00DE0419" w:rsidRDefault="00DE0419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0,00 €</w:t>
            </w:r>
          </w:p>
        </w:tc>
      </w:tr>
      <w:tr w:rsidR="002A7933" w:rsidRPr="0075539A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270803" w:rsidRDefault="0027080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270803" w:rsidRDefault="0027080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270803" w:rsidRDefault="0027080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270803" w:rsidRPr="0075539A" w:rsidRDefault="0027080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shd w:val="clear" w:color="auto" w:fill="auto"/>
          </w:tcPr>
          <w:p w:rsidR="00270803" w:rsidRPr="0075539A" w:rsidRDefault="00270803" w:rsidP="0075539A">
            <w:pPr>
              <w:spacing w:after="0" w:line="240" w:lineRule="auto"/>
              <w:rPr>
                <w:rFonts w:ascii="Bookman Old Style" w:eastAsia="Calibri" w:hAnsi="Bookman Old Style" w:cs="Times New Roman"/>
                <w:kern w:val="2"/>
                <w:sz w:val="26"/>
                <w:szCs w:val="26"/>
                <w:lang w:val="sq-AL"/>
              </w:rPr>
            </w:pPr>
          </w:p>
        </w:tc>
        <w:tc>
          <w:tcPr>
            <w:tcW w:w="2303" w:type="dxa"/>
            <w:shd w:val="clear" w:color="auto" w:fill="auto"/>
          </w:tcPr>
          <w:p w:rsidR="00270803" w:rsidRPr="0075539A" w:rsidRDefault="0027080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270803" w:rsidRPr="0075539A" w:rsidRDefault="0027080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shd w:val="clear" w:color="auto" w:fill="auto"/>
          </w:tcPr>
          <w:p w:rsidR="00270803" w:rsidRPr="0075539A" w:rsidRDefault="0027080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70803" w:rsidRPr="0075539A" w:rsidRDefault="0027080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shd w:val="clear" w:color="auto" w:fill="auto"/>
          </w:tcPr>
          <w:p w:rsidR="00270803" w:rsidRPr="0075539A" w:rsidRDefault="0027080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270803" w:rsidRPr="0075539A" w:rsidRDefault="0027080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shd w:val="clear" w:color="auto" w:fill="auto"/>
          </w:tcPr>
          <w:p w:rsidR="00270803" w:rsidRPr="0075539A" w:rsidRDefault="00270803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75539A" w:rsidRPr="0075539A" w:rsidTr="006E5882">
        <w:trPr>
          <w:trHeight w:val="456"/>
        </w:trPr>
        <w:tc>
          <w:tcPr>
            <w:tcW w:w="14040" w:type="dxa"/>
            <w:gridSpan w:val="11"/>
            <w:shd w:val="clear" w:color="auto" w:fill="FFF2CC"/>
          </w:tcPr>
          <w:p w:rsidR="0075539A" w:rsidRPr="0075539A" w:rsidRDefault="0075539A" w:rsidP="005E0754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Opći cilj 2. Smanjiti stopu napuštanja školovanja stvaranjem lakog prijelaza iz niže srednje škole u višu srednju školu, na temelju prilika za karijeru koje odgovaraju vještinama i interesima učenika.</w:t>
            </w:r>
          </w:p>
        </w:tc>
      </w:tr>
      <w:tr w:rsidR="0075539A" w:rsidRPr="0075539A" w:rsidTr="006E5882">
        <w:trPr>
          <w:trHeight w:val="600"/>
        </w:trPr>
        <w:tc>
          <w:tcPr>
            <w:tcW w:w="14040" w:type="dxa"/>
            <w:gridSpan w:val="11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Specifični cilj 2.1: Premošćivanje niže srednje škole i više srednje škole počevši od 6. razreda</w:t>
            </w:r>
          </w:p>
        </w:tc>
      </w:tr>
      <w:tr w:rsidR="00A058D8" w:rsidRPr="0075539A" w:rsidTr="004956B8">
        <w:trPr>
          <w:trHeight w:val="440"/>
        </w:trPr>
        <w:tc>
          <w:tcPr>
            <w:tcW w:w="756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Ne.</w:t>
            </w:r>
          </w:p>
        </w:tc>
        <w:tc>
          <w:tcPr>
            <w:tcW w:w="2341" w:type="dxa"/>
            <w:vMerge w:val="restart"/>
            <w:shd w:val="clear" w:color="auto" w:fill="DEEAF6"/>
          </w:tcPr>
          <w:p w:rsidR="0075539A" w:rsidRPr="0075539A" w:rsidRDefault="0075539A" w:rsidP="004956B8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AKTIVNOSTI</w:t>
            </w:r>
          </w:p>
        </w:tc>
        <w:tc>
          <w:tcPr>
            <w:tcW w:w="2303" w:type="dxa"/>
            <w:vMerge w:val="restart"/>
            <w:shd w:val="clear" w:color="auto" w:fill="DEEAF6"/>
          </w:tcPr>
          <w:p w:rsidR="0075539A" w:rsidRPr="0075539A" w:rsidRDefault="0075539A" w:rsidP="004956B8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POKAZATELJI</w:t>
            </w:r>
          </w:p>
        </w:tc>
        <w:tc>
          <w:tcPr>
            <w:tcW w:w="3960" w:type="dxa"/>
            <w:gridSpan w:val="5"/>
            <w:shd w:val="clear" w:color="auto" w:fill="DEEAF6"/>
          </w:tcPr>
          <w:p w:rsidR="0075539A" w:rsidRPr="0075539A" w:rsidRDefault="0075539A" w:rsidP="004D4722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Rok</w:t>
            </w:r>
          </w:p>
        </w:tc>
        <w:tc>
          <w:tcPr>
            <w:tcW w:w="153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Odgovorna institucija</w:t>
            </w:r>
          </w:p>
        </w:tc>
        <w:tc>
          <w:tcPr>
            <w:tcW w:w="180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Potporne institucije</w:t>
            </w:r>
          </w:p>
        </w:tc>
        <w:tc>
          <w:tcPr>
            <w:tcW w:w="135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PRORAČUN</w:t>
            </w:r>
          </w:p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2A7933" w:rsidRPr="0075539A" w:rsidTr="004956B8">
        <w:trPr>
          <w:trHeight w:val="521"/>
        </w:trPr>
        <w:tc>
          <w:tcPr>
            <w:tcW w:w="756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03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gridSpan w:val="2"/>
            <w:shd w:val="clear" w:color="auto" w:fill="DEEAF6"/>
          </w:tcPr>
          <w:p w:rsidR="0075539A" w:rsidRPr="0075539A" w:rsidRDefault="00DE0419" w:rsidP="004956B8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0" w:type="dxa"/>
            <w:shd w:val="clear" w:color="auto" w:fill="DEEAF6"/>
          </w:tcPr>
          <w:p w:rsidR="0075539A" w:rsidRPr="0075539A" w:rsidRDefault="00DE0419" w:rsidP="004956B8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170" w:type="dxa"/>
            <w:gridSpan w:val="2"/>
            <w:shd w:val="clear" w:color="auto" w:fill="DEEAF6"/>
          </w:tcPr>
          <w:p w:rsidR="0075539A" w:rsidRPr="0075539A" w:rsidRDefault="00DE0419" w:rsidP="004956B8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30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2.1.1</w:t>
            </w:r>
          </w:p>
        </w:tc>
        <w:tc>
          <w:tcPr>
            <w:tcW w:w="2341" w:type="dxa"/>
            <w:shd w:val="clear" w:color="auto" w:fill="auto"/>
          </w:tcPr>
          <w:p w:rsidR="0075539A" w:rsidRPr="004956B8" w:rsidRDefault="00DA3954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 xml:space="preserve">Provedba politike ranog profesionalnog usmjeravanja </w:t>
            </w:r>
            <w:r w:rsidR="0075539A" w:rsidRPr="004956B8">
              <w:rPr>
                <w:rFonts w:ascii="Times New Roman" w:eastAsia="Calibri" w:hAnsi="Times New Roman" w:cs="Times New Roman"/>
                <w:lang w:val="sq-AL"/>
              </w:rPr>
              <w:t>s naglaskom na učenike 6. razreda.</w:t>
            </w:r>
          </w:p>
        </w:tc>
        <w:tc>
          <w:tcPr>
            <w:tcW w:w="2303" w:type="dxa"/>
            <w:shd w:val="clear" w:color="auto" w:fill="auto"/>
          </w:tcPr>
          <w:p w:rsidR="0075539A" w:rsidRPr="004956B8" w:rsidRDefault="00DA3954" w:rsidP="004956B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Primjenjivi UA</w:t>
            </w:r>
          </w:p>
          <w:p w:rsidR="00DA3954" w:rsidRPr="004956B8" w:rsidRDefault="00DA3954" w:rsidP="004956B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Redovne aktivnosti, realizirane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75539A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75539A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75539A" w:rsidRPr="00DE0419" w:rsidRDefault="00DA3954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75539A" w:rsidRPr="00DE0419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DA3954" w:rsidRPr="00DE0419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75539A" w:rsidRPr="00DE0419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DA3954" w:rsidRPr="00DE0419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75539A" w:rsidRPr="00DE0419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2A7933" w:rsidRPr="0075539A" w:rsidTr="004956B8">
        <w:trPr>
          <w:trHeight w:val="2384"/>
        </w:trPr>
        <w:tc>
          <w:tcPr>
            <w:tcW w:w="756" w:type="dxa"/>
            <w:shd w:val="clear" w:color="auto" w:fill="auto"/>
          </w:tcPr>
          <w:p w:rsidR="00DA3954" w:rsidRPr="0075539A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2.1.2.</w:t>
            </w:r>
          </w:p>
        </w:tc>
        <w:tc>
          <w:tcPr>
            <w:tcW w:w="2341" w:type="dxa"/>
            <w:shd w:val="clear" w:color="auto" w:fill="auto"/>
          </w:tcPr>
          <w:p w:rsidR="00DA3954" w:rsidRPr="004956B8" w:rsidRDefault="00DA3954" w:rsidP="00DA3954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Organiziranje sajmova poslova kako bi se studenti upoznali s različitim zanimanjima i mogućnostima zapošljavanja.</w:t>
            </w:r>
          </w:p>
        </w:tc>
        <w:tc>
          <w:tcPr>
            <w:tcW w:w="2303" w:type="dxa"/>
            <w:shd w:val="clear" w:color="auto" w:fill="auto"/>
          </w:tcPr>
          <w:p w:rsidR="00DA3954" w:rsidRPr="004956B8" w:rsidRDefault="00DA3954" w:rsidP="004956B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Realizirani sajmovi</w:t>
            </w:r>
          </w:p>
          <w:p w:rsidR="009122C4" w:rsidRPr="004956B8" w:rsidRDefault="009122C4" w:rsidP="004956B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Grupno i individualno savjetovanje, utvrđivanje potreba</w:t>
            </w:r>
          </w:p>
          <w:p w:rsidR="00B32A71" w:rsidRPr="004956B8" w:rsidRDefault="00B32A71" w:rsidP="004956B8">
            <w:pPr>
              <w:rPr>
                <w:rFonts w:ascii="Times New Roman" w:eastAsia="Calibri" w:hAnsi="Times New Roman" w:cs="Times New Roman"/>
                <w:highlight w:val="yellow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Prijevoz studenata od Sfmu do Shml (Otvorena vrata)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A3954" w:rsidRPr="00DE0419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DA3954" w:rsidRPr="00DE0419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DA3954" w:rsidRPr="00DE0419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DA3954" w:rsidRPr="00DE0419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DA3954" w:rsidRPr="00DE0419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DA3954" w:rsidRPr="00DE0419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DA3954" w:rsidRPr="00DE0419" w:rsidRDefault="00DA3954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DA3954" w:rsidRPr="00DE0419" w:rsidRDefault="00C74F55" w:rsidP="00DA3954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DE0419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1500,00 €</w:t>
            </w: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2.1.3</w:t>
            </w:r>
          </w:p>
        </w:tc>
        <w:tc>
          <w:tcPr>
            <w:tcW w:w="2341" w:type="dxa"/>
            <w:shd w:val="clear" w:color="auto" w:fill="auto"/>
          </w:tcPr>
          <w:p w:rsidR="0075539A" w:rsidRPr="004956B8" w:rsidRDefault="0075539A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Angažiranje savjetnika za profesionalno usmjeravanje u nižim srednjim školama za profesionalno usmjeravanje i podršku učenicima.</w:t>
            </w:r>
          </w:p>
        </w:tc>
        <w:tc>
          <w:tcPr>
            <w:tcW w:w="2303" w:type="dxa"/>
            <w:shd w:val="clear" w:color="auto" w:fill="auto"/>
          </w:tcPr>
          <w:p w:rsidR="0075539A" w:rsidRPr="004956B8" w:rsidRDefault="00DA3954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Ne. karijernih savjetnika zaposlenih u školama</w:t>
            </w:r>
          </w:p>
          <w:p w:rsidR="009122C4" w:rsidRPr="004956B8" w:rsidRDefault="009122C4" w:rsidP="0075539A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Broj savjetnika prema odredbama UP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75539A" w:rsidRPr="00B32A71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shd w:val="clear" w:color="auto" w:fill="auto"/>
          </w:tcPr>
          <w:p w:rsidR="0075539A" w:rsidRPr="00B32A71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75539A" w:rsidRPr="00B32A71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75539A" w:rsidRPr="00B32A71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75539A" w:rsidRPr="00B32A71" w:rsidRDefault="00DA3954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</w:tc>
        <w:tc>
          <w:tcPr>
            <w:tcW w:w="1350" w:type="dxa"/>
            <w:shd w:val="clear" w:color="auto" w:fill="auto"/>
          </w:tcPr>
          <w:p w:rsidR="00C74F55" w:rsidRPr="00B32A71" w:rsidRDefault="00C74F5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  <w:p w:rsidR="00C74F55" w:rsidRPr="00B32A71" w:rsidRDefault="00C74F55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color w:val="FF0000"/>
                <w:sz w:val="24"/>
                <w:szCs w:val="24"/>
                <w:lang w:val="sq-AL"/>
              </w:rPr>
              <w:t>Usmjeravanje savjetnika za karijeru</w:t>
            </w: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2.1.4</w:t>
            </w:r>
          </w:p>
        </w:tc>
        <w:tc>
          <w:tcPr>
            <w:tcW w:w="2341" w:type="dxa"/>
            <w:shd w:val="clear" w:color="auto" w:fill="auto"/>
          </w:tcPr>
          <w:p w:rsidR="003313C8" w:rsidRPr="004956B8" w:rsidRDefault="003313C8" w:rsidP="003313C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Osmišljavanje programa koji pomaže učenicima u planiranju karijere i donošenju odluka, što uključuje njihovo povezivanje s višim srednjim školama.</w:t>
            </w:r>
          </w:p>
        </w:tc>
        <w:tc>
          <w:tcPr>
            <w:tcW w:w="2303" w:type="dxa"/>
            <w:shd w:val="clear" w:color="auto" w:fill="auto"/>
          </w:tcPr>
          <w:p w:rsidR="009122C4" w:rsidRPr="004956B8" w:rsidRDefault="00B32A71" w:rsidP="00DE3B3B">
            <w:pPr>
              <w:rPr>
                <w:rFonts w:ascii="Times New Roman" w:eastAsia="Calibri" w:hAnsi="Times New Roman" w:cs="Times New Roman"/>
                <w:highlight w:val="yellow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Izrađen program i podijeljen po školama, plakati, letci, leci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3313C8" w:rsidRPr="00B32A71" w:rsidRDefault="00B32A71" w:rsidP="004956B8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3313C8" w:rsidRPr="00B32A71" w:rsidRDefault="003313C8" w:rsidP="004956B8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3313C8" w:rsidRPr="00B32A71" w:rsidRDefault="003313C8" w:rsidP="004956B8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3313C8" w:rsidRPr="00B32A71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3313C8" w:rsidRPr="00B32A71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3313C8" w:rsidRPr="00B32A71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3313C8" w:rsidRPr="00B32A71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3313C8" w:rsidRPr="00B32A71" w:rsidRDefault="00B32A71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1500,00 €</w:t>
            </w:r>
          </w:p>
        </w:tc>
      </w:tr>
      <w:tr w:rsidR="0075539A" w:rsidRPr="0075539A" w:rsidTr="006E5882">
        <w:trPr>
          <w:trHeight w:val="528"/>
        </w:trPr>
        <w:tc>
          <w:tcPr>
            <w:tcW w:w="14040" w:type="dxa"/>
            <w:gridSpan w:val="11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Specifični cilj 2.2: Podizanje svijesti roditelja i učenika o usmjeravanju profila prema djetetovim kompetencijama i interesima</w:t>
            </w:r>
          </w:p>
        </w:tc>
      </w:tr>
      <w:tr w:rsidR="00A058D8" w:rsidRPr="0075539A" w:rsidTr="004956B8">
        <w:trPr>
          <w:trHeight w:val="540"/>
        </w:trPr>
        <w:tc>
          <w:tcPr>
            <w:tcW w:w="756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ind w:left="348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AKTIVNOSTI</w:t>
            </w:r>
          </w:p>
        </w:tc>
        <w:tc>
          <w:tcPr>
            <w:tcW w:w="2303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POKAZATELJI</w:t>
            </w:r>
          </w:p>
        </w:tc>
        <w:tc>
          <w:tcPr>
            <w:tcW w:w="3960" w:type="dxa"/>
            <w:gridSpan w:val="5"/>
            <w:shd w:val="clear" w:color="auto" w:fill="DEEAF6"/>
          </w:tcPr>
          <w:p w:rsidR="0075539A" w:rsidRPr="0075539A" w:rsidRDefault="0075539A" w:rsidP="00106D38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Rok</w:t>
            </w:r>
          </w:p>
        </w:tc>
        <w:tc>
          <w:tcPr>
            <w:tcW w:w="153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Odgovorna institucija</w:t>
            </w:r>
          </w:p>
        </w:tc>
        <w:tc>
          <w:tcPr>
            <w:tcW w:w="180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Potporne institucije</w:t>
            </w:r>
          </w:p>
        </w:tc>
        <w:tc>
          <w:tcPr>
            <w:tcW w:w="135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PRORAČUN</w:t>
            </w:r>
          </w:p>
        </w:tc>
      </w:tr>
      <w:tr w:rsidR="002A7933" w:rsidRPr="0075539A" w:rsidTr="004956B8">
        <w:tc>
          <w:tcPr>
            <w:tcW w:w="756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gridSpan w:val="2"/>
            <w:shd w:val="clear" w:color="auto" w:fill="DEEAF6"/>
          </w:tcPr>
          <w:p w:rsidR="0075539A" w:rsidRPr="0075539A" w:rsidRDefault="001059F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0" w:type="dxa"/>
            <w:shd w:val="clear" w:color="auto" w:fill="DEEAF6"/>
          </w:tcPr>
          <w:p w:rsidR="0075539A" w:rsidRPr="0075539A" w:rsidRDefault="001059F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170" w:type="dxa"/>
            <w:gridSpan w:val="2"/>
            <w:shd w:val="clear" w:color="auto" w:fill="DEEAF6"/>
          </w:tcPr>
          <w:p w:rsidR="0075539A" w:rsidRPr="0075539A" w:rsidRDefault="001059F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30" w:type="dxa"/>
            <w:vMerge/>
            <w:shd w:val="clear" w:color="auto" w:fill="auto"/>
          </w:tcPr>
          <w:p w:rsidR="0075539A" w:rsidRPr="0075539A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75539A" w:rsidRPr="0075539A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5539A" w:rsidRPr="0075539A" w:rsidRDefault="0075539A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lastRenderedPageBreak/>
              <w:t>2.2.1</w:t>
            </w:r>
          </w:p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shd w:val="clear" w:color="auto" w:fill="auto"/>
          </w:tcPr>
          <w:p w:rsidR="003313C8" w:rsidRPr="004956B8" w:rsidRDefault="003313C8" w:rsidP="003313C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Izrada informativnih materijala za roditelje i učenike.</w:t>
            </w:r>
          </w:p>
        </w:tc>
        <w:tc>
          <w:tcPr>
            <w:tcW w:w="2303" w:type="dxa"/>
            <w:shd w:val="clear" w:color="auto" w:fill="auto"/>
          </w:tcPr>
          <w:p w:rsidR="003313C8" w:rsidRPr="004956B8" w:rsidRDefault="003313C8" w:rsidP="003313C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Pripremljeni materijali</w:t>
            </w:r>
          </w:p>
          <w:p w:rsidR="00221470" w:rsidRPr="004956B8" w:rsidRDefault="00221470" w:rsidP="003313C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color w:val="FF0000"/>
                <w:lang w:val="sq-AL"/>
              </w:rPr>
              <w:t>videoporuka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3313C8" w:rsidRPr="00B32A71" w:rsidRDefault="00221470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1500,00 €</w:t>
            </w: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2.2.2</w:t>
            </w:r>
          </w:p>
        </w:tc>
        <w:tc>
          <w:tcPr>
            <w:tcW w:w="2341" w:type="dxa"/>
            <w:shd w:val="clear" w:color="auto" w:fill="auto"/>
          </w:tcPr>
          <w:p w:rsidR="003313C8" w:rsidRPr="004956B8" w:rsidRDefault="003313C8" w:rsidP="003313C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Radionica s roditeljima za promociju obrazovnih profila i prednosti pravilnog usmjeravanja djece u srednjoškolskom obrazovanju.</w:t>
            </w:r>
          </w:p>
        </w:tc>
        <w:tc>
          <w:tcPr>
            <w:tcW w:w="2303" w:type="dxa"/>
            <w:shd w:val="clear" w:color="auto" w:fill="auto"/>
          </w:tcPr>
          <w:p w:rsidR="003313C8" w:rsidRPr="004956B8" w:rsidRDefault="003313C8" w:rsidP="003313C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Ne. održanih radionica, sastanaka</w:t>
            </w:r>
          </w:p>
          <w:p w:rsidR="00221470" w:rsidRPr="004956B8" w:rsidRDefault="002E5C8B" w:rsidP="003313C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Najmanje 1 radionica godišnje u svim školama (27)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3313C8" w:rsidRPr="00B32A71" w:rsidRDefault="00221470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3000,00 €</w:t>
            </w: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2.2.3</w:t>
            </w:r>
          </w:p>
        </w:tc>
        <w:tc>
          <w:tcPr>
            <w:tcW w:w="2341" w:type="dxa"/>
            <w:shd w:val="clear" w:color="auto" w:fill="auto"/>
          </w:tcPr>
          <w:p w:rsidR="003313C8" w:rsidRPr="004956B8" w:rsidRDefault="003313C8" w:rsidP="003313C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Radionice za učenike nižih razreda srednjih škola za istraživanje njihovih vještina, interesa i sposobnosti.</w:t>
            </w:r>
          </w:p>
        </w:tc>
        <w:tc>
          <w:tcPr>
            <w:tcW w:w="2303" w:type="dxa"/>
            <w:shd w:val="clear" w:color="auto" w:fill="auto"/>
          </w:tcPr>
          <w:p w:rsidR="003313C8" w:rsidRPr="004956B8" w:rsidRDefault="003313C8" w:rsidP="003313C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Ne. seminara održanih sa studentima</w:t>
            </w:r>
          </w:p>
          <w:p w:rsidR="00221470" w:rsidRPr="004956B8" w:rsidRDefault="00221470" w:rsidP="003313C8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Seminari za karijerne savjetnike s razredima 6,7,8,9 u koordinaciji s UA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3313C8" w:rsidRPr="00B32A7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B32A7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3313C8" w:rsidRPr="00B32A71" w:rsidRDefault="00002D81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</w:t>
            </w: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2.2.3.</w:t>
            </w:r>
          </w:p>
        </w:tc>
        <w:tc>
          <w:tcPr>
            <w:tcW w:w="2341" w:type="dxa"/>
            <w:shd w:val="clear" w:color="auto" w:fill="auto"/>
          </w:tcPr>
          <w:p w:rsidR="003313C8" w:rsidRPr="0075539A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Zajednički sastanci s roditeljima, učenicima s motivacijskim govornicima.</w:t>
            </w:r>
          </w:p>
        </w:tc>
        <w:tc>
          <w:tcPr>
            <w:tcW w:w="2303" w:type="dxa"/>
            <w:shd w:val="clear" w:color="auto" w:fill="auto"/>
          </w:tcPr>
          <w:p w:rsidR="003313C8" w:rsidRPr="00002D81" w:rsidRDefault="003313C8" w:rsidP="003313C8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Broj održanih sastanaka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3313C8" w:rsidRPr="00002D8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3313C8" w:rsidRPr="00002D8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3313C8" w:rsidRPr="00002D8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3313C8" w:rsidRPr="00002D8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3313C8" w:rsidRPr="00002D8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3313C8" w:rsidRPr="00002D8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3313C8" w:rsidRPr="00002D81" w:rsidRDefault="003313C8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3313C8" w:rsidRPr="00002D81" w:rsidRDefault="00002D81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</w:t>
            </w:r>
          </w:p>
        </w:tc>
      </w:tr>
      <w:tr w:rsidR="002A7933" w:rsidRPr="0075539A" w:rsidTr="004956B8"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03" w:type="dxa"/>
            <w:shd w:val="clear" w:color="auto" w:fill="auto"/>
          </w:tcPr>
          <w:p w:rsidR="0075539A" w:rsidRPr="003313C8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75539A" w:rsidRPr="003313C8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080" w:type="dxa"/>
            <w:shd w:val="clear" w:color="auto" w:fill="auto"/>
          </w:tcPr>
          <w:p w:rsidR="0075539A" w:rsidRPr="003313C8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75539A" w:rsidRPr="003313C8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530" w:type="dxa"/>
            <w:shd w:val="clear" w:color="auto" w:fill="auto"/>
          </w:tcPr>
          <w:p w:rsidR="0075539A" w:rsidRPr="003313C8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75539A" w:rsidRPr="003313C8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highlight w:val="yellow"/>
                <w:lang w:val="sq-AL"/>
              </w:rPr>
            </w:pPr>
          </w:p>
        </w:tc>
        <w:tc>
          <w:tcPr>
            <w:tcW w:w="1350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75539A" w:rsidRPr="0075539A" w:rsidTr="006E5882">
        <w:trPr>
          <w:trHeight w:val="468"/>
        </w:trPr>
        <w:tc>
          <w:tcPr>
            <w:tcW w:w="14040" w:type="dxa"/>
            <w:gridSpan w:val="11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9B0D89">
              <w:rPr>
                <w:rFonts w:ascii="Book Antiqua" w:eastAsia="Calibri" w:hAnsi="Book Antiqua" w:cs="Times New Roman"/>
                <w:b/>
                <w:sz w:val="24"/>
                <w:szCs w:val="24"/>
                <w:highlight w:val="yellow"/>
                <w:lang w:val="sq-AL"/>
              </w:rPr>
              <w:t>Specifični ciljevi 2.3. Stvaranje partnerstva s lokalnim poduzećima za pružanje mogućnosti stažiranja, mentorskih programa i mogućnosti otvaranja radnih mjesta.</w:t>
            </w:r>
          </w:p>
        </w:tc>
      </w:tr>
      <w:tr w:rsidR="00A058D8" w:rsidRPr="0075539A" w:rsidTr="004956B8">
        <w:trPr>
          <w:trHeight w:val="421"/>
        </w:trPr>
        <w:tc>
          <w:tcPr>
            <w:tcW w:w="756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AKTIVNOSTI</w:t>
            </w:r>
          </w:p>
        </w:tc>
        <w:tc>
          <w:tcPr>
            <w:tcW w:w="2303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POKAZATELJI</w:t>
            </w:r>
          </w:p>
        </w:tc>
        <w:tc>
          <w:tcPr>
            <w:tcW w:w="3960" w:type="dxa"/>
            <w:gridSpan w:val="5"/>
            <w:shd w:val="clear" w:color="auto" w:fill="DEEAF6"/>
          </w:tcPr>
          <w:p w:rsidR="0075539A" w:rsidRPr="0075539A" w:rsidRDefault="0075539A" w:rsidP="003F2D0B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Rok</w:t>
            </w:r>
          </w:p>
        </w:tc>
        <w:tc>
          <w:tcPr>
            <w:tcW w:w="153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Odgovorna institucija</w:t>
            </w:r>
          </w:p>
        </w:tc>
        <w:tc>
          <w:tcPr>
            <w:tcW w:w="180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Potporne institucije</w:t>
            </w:r>
          </w:p>
        </w:tc>
        <w:tc>
          <w:tcPr>
            <w:tcW w:w="1350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PRORAČUN</w:t>
            </w:r>
          </w:p>
        </w:tc>
      </w:tr>
      <w:tr w:rsidR="002A7933" w:rsidRPr="0075539A" w:rsidTr="004956B8">
        <w:trPr>
          <w:trHeight w:val="432"/>
        </w:trPr>
        <w:tc>
          <w:tcPr>
            <w:tcW w:w="756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03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gridSpan w:val="2"/>
            <w:shd w:val="clear" w:color="auto" w:fill="DEEAF6"/>
          </w:tcPr>
          <w:p w:rsidR="0075539A" w:rsidRPr="0075539A" w:rsidRDefault="00002D81" w:rsidP="00DF0419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0" w:type="dxa"/>
            <w:shd w:val="clear" w:color="auto" w:fill="DEEAF6"/>
          </w:tcPr>
          <w:p w:rsidR="0075539A" w:rsidRPr="0075539A" w:rsidRDefault="00002D81" w:rsidP="00DF0419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170" w:type="dxa"/>
            <w:gridSpan w:val="2"/>
            <w:shd w:val="clear" w:color="auto" w:fill="DEEAF6"/>
          </w:tcPr>
          <w:p w:rsidR="0075539A" w:rsidRPr="0075539A" w:rsidRDefault="00002D81" w:rsidP="00DF0419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30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2A7933" w:rsidRPr="0075539A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3313C8" w:rsidRPr="0075539A" w:rsidRDefault="003313C8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2.3.1.</w:t>
            </w:r>
          </w:p>
        </w:tc>
        <w:tc>
          <w:tcPr>
            <w:tcW w:w="2341" w:type="dxa"/>
            <w:shd w:val="clear" w:color="auto" w:fill="auto"/>
          </w:tcPr>
          <w:p w:rsidR="003313C8" w:rsidRPr="004956B8" w:rsidRDefault="003313C8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Identifikacija poduzeća i izrada sporazuma o razumijevanju za strukovne škole</w:t>
            </w:r>
          </w:p>
        </w:tc>
        <w:tc>
          <w:tcPr>
            <w:tcW w:w="2303" w:type="dxa"/>
            <w:shd w:val="clear" w:color="auto" w:fill="auto"/>
          </w:tcPr>
          <w:p w:rsidR="003313C8" w:rsidRPr="004956B8" w:rsidRDefault="003313C8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Ne. ugovora i partnera (kakva je potražnja/potreba)</w:t>
            </w:r>
          </w:p>
          <w:p w:rsidR="008D5C70" w:rsidRPr="004956B8" w:rsidRDefault="00B033B0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100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3313C8" w:rsidRPr="00002D81" w:rsidRDefault="0027336A" w:rsidP="00D05058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60</w:t>
            </w:r>
          </w:p>
        </w:tc>
        <w:tc>
          <w:tcPr>
            <w:tcW w:w="1080" w:type="dxa"/>
            <w:shd w:val="clear" w:color="auto" w:fill="auto"/>
          </w:tcPr>
          <w:p w:rsidR="003313C8" w:rsidRPr="00002D81" w:rsidRDefault="0027336A" w:rsidP="00D05058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80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3313C8" w:rsidRPr="00002D81" w:rsidRDefault="0027336A" w:rsidP="00D05058">
            <w:pPr>
              <w:spacing w:after="0" w:line="240" w:lineRule="auto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100</w:t>
            </w:r>
          </w:p>
        </w:tc>
        <w:tc>
          <w:tcPr>
            <w:tcW w:w="1530" w:type="dxa"/>
            <w:shd w:val="clear" w:color="auto" w:fill="auto"/>
          </w:tcPr>
          <w:p w:rsidR="003313C8" w:rsidRPr="00002D81" w:rsidRDefault="003313C8" w:rsidP="00D05058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3313C8" w:rsidRPr="00002D81" w:rsidRDefault="003313C8" w:rsidP="00D05058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3313C8" w:rsidRPr="00002D81" w:rsidRDefault="003313C8" w:rsidP="00D05058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3313C8" w:rsidRPr="00002D81" w:rsidRDefault="003313C8" w:rsidP="00D05058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3313C8" w:rsidRPr="0075539A" w:rsidRDefault="0027336A" w:rsidP="00D05058">
            <w:pPr>
              <w:spacing w:after="0" w:line="240" w:lineRule="auto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1500,00</w:t>
            </w:r>
          </w:p>
        </w:tc>
      </w:tr>
      <w:tr w:rsidR="002A7933" w:rsidRPr="0075539A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3313C8" w:rsidRPr="0075539A" w:rsidRDefault="003313C8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2.3.2.</w:t>
            </w:r>
          </w:p>
        </w:tc>
        <w:tc>
          <w:tcPr>
            <w:tcW w:w="2341" w:type="dxa"/>
            <w:shd w:val="clear" w:color="auto" w:fill="auto"/>
          </w:tcPr>
          <w:p w:rsidR="003313C8" w:rsidRPr="004956B8" w:rsidRDefault="003313C8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Provedba sporazuma o razumijevanju prema odvojenim tuženicima.</w:t>
            </w:r>
          </w:p>
          <w:p w:rsidR="0027336A" w:rsidRPr="004956B8" w:rsidRDefault="0027336A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Osposobljavanje nastavnog osoblja</w:t>
            </w:r>
          </w:p>
          <w:p w:rsidR="008D5C70" w:rsidRPr="004956B8" w:rsidRDefault="00191A6F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Vježbe sa studentima za meke vještine</w:t>
            </w:r>
          </w:p>
          <w:p w:rsidR="00191A6F" w:rsidRPr="004956B8" w:rsidRDefault="00191A6F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Implementacija učenja na radnom mjestu</w:t>
            </w:r>
          </w:p>
          <w:p w:rsidR="004956B8" w:rsidRDefault="00191A6F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Realizacija dualnog učenja.</w:t>
            </w:r>
          </w:p>
          <w:p w:rsidR="00191A6F" w:rsidRPr="004956B8" w:rsidRDefault="004956B8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>
              <w:rPr>
                <w:rFonts w:ascii="Times New Roman" w:eastAsia="Calibri" w:hAnsi="Times New Roman" w:cs="Times New Roman"/>
                <w:lang w:val="sq-AL"/>
              </w:rPr>
              <w:t>Marketing škole (profili i aktivnosti koje se provode u školi)</w:t>
            </w:r>
          </w:p>
          <w:p w:rsidR="00191A6F" w:rsidRPr="004956B8" w:rsidRDefault="00191A6F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</w:p>
        </w:tc>
        <w:tc>
          <w:tcPr>
            <w:tcW w:w="2303" w:type="dxa"/>
            <w:shd w:val="clear" w:color="auto" w:fill="auto"/>
          </w:tcPr>
          <w:p w:rsidR="003313C8" w:rsidRPr="004956B8" w:rsidRDefault="003313C8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Ne. škola i profili korisnika sporazuma (br. škola, prijevoz ovih učenika)</w:t>
            </w:r>
          </w:p>
          <w:p w:rsidR="003313C8" w:rsidRPr="004956B8" w:rsidRDefault="003313C8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Ne. učenika koji su podržani za praktični rad.</w:t>
            </w:r>
          </w:p>
          <w:p w:rsidR="00191A6F" w:rsidRPr="004956B8" w:rsidRDefault="00191A6F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Povećanje interesa studenata za tehničke predmete</w:t>
            </w:r>
          </w:p>
          <w:p w:rsidR="00191A6F" w:rsidRPr="004956B8" w:rsidRDefault="00191A6F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Susreti s učenicima 9. razreda</w:t>
            </w:r>
          </w:p>
          <w:p w:rsidR="00073688" w:rsidRPr="004956B8" w:rsidRDefault="00073688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Podjela letaka i plakata za motiviranje učenika za upis u našu školu,</w:t>
            </w:r>
          </w:p>
          <w:p w:rsidR="00073688" w:rsidRPr="004956B8" w:rsidRDefault="00073688" w:rsidP="00D05058">
            <w:pPr>
              <w:spacing w:after="0" w:line="240" w:lineRule="auto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Održavanje, objave, sponzorstvo aktivnosti koje škola provodi s učenicima na društvenim mrežama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3313C8" w:rsidRPr="00002D81" w:rsidRDefault="003313C8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3313C8" w:rsidRPr="00002D81" w:rsidRDefault="003313C8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3313C8" w:rsidRPr="00002D81" w:rsidRDefault="003313C8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3313C8" w:rsidRPr="00002D81" w:rsidRDefault="003313C8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3313C8" w:rsidRPr="00002D81" w:rsidRDefault="003313C8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</w:tc>
        <w:tc>
          <w:tcPr>
            <w:tcW w:w="1800" w:type="dxa"/>
            <w:shd w:val="clear" w:color="auto" w:fill="auto"/>
          </w:tcPr>
          <w:p w:rsidR="003313C8" w:rsidRPr="00002D81" w:rsidRDefault="003313C8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3313C8" w:rsidRPr="00002D81" w:rsidRDefault="003313C8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3313C8" w:rsidRPr="00002D81" w:rsidRDefault="00ED239C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3000,00 €</w:t>
            </w:r>
          </w:p>
        </w:tc>
      </w:tr>
      <w:tr w:rsidR="002A7933" w:rsidRPr="0075539A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2.3.3</w:t>
            </w:r>
          </w:p>
        </w:tc>
        <w:tc>
          <w:tcPr>
            <w:tcW w:w="2341" w:type="dxa"/>
            <w:shd w:val="clear" w:color="auto" w:fill="auto"/>
          </w:tcPr>
          <w:p w:rsidR="00B05B8E" w:rsidRPr="0075539A" w:rsidRDefault="00B05B8E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03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shd w:val="clear" w:color="auto" w:fill="auto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</w:tr>
      <w:tr w:rsidR="0075539A" w:rsidRPr="0075539A" w:rsidTr="006E5882">
        <w:trPr>
          <w:trHeight w:val="468"/>
        </w:trPr>
        <w:tc>
          <w:tcPr>
            <w:tcW w:w="14040" w:type="dxa"/>
            <w:gridSpan w:val="11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Specifični ciljevi 2.4. Praćenje provedbe akcijskog plana</w:t>
            </w:r>
          </w:p>
        </w:tc>
      </w:tr>
      <w:tr w:rsidR="004956B8" w:rsidRPr="0075539A" w:rsidTr="004956B8">
        <w:trPr>
          <w:trHeight w:val="421"/>
        </w:trPr>
        <w:tc>
          <w:tcPr>
            <w:tcW w:w="756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AKTIVNOSTI</w:t>
            </w:r>
          </w:p>
        </w:tc>
        <w:tc>
          <w:tcPr>
            <w:tcW w:w="2303" w:type="dxa"/>
            <w:vMerge w:val="restart"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POKAZATELJI</w:t>
            </w:r>
          </w:p>
        </w:tc>
        <w:tc>
          <w:tcPr>
            <w:tcW w:w="3960" w:type="dxa"/>
            <w:gridSpan w:val="5"/>
            <w:shd w:val="clear" w:color="auto" w:fill="DEEAF6"/>
          </w:tcPr>
          <w:p w:rsidR="0075539A" w:rsidRPr="0075539A" w:rsidRDefault="0075539A" w:rsidP="00DE3B3B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Rok</w:t>
            </w:r>
          </w:p>
        </w:tc>
        <w:tc>
          <w:tcPr>
            <w:tcW w:w="1530" w:type="dxa"/>
            <w:vMerge w:val="restart"/>
            <w:shd w:val="clear" w:color="auto" w:fill="DEEAF6"/>
          </w:tcPr>
          <w:p w:rsidR="0075539A" w:rsidRPr="0075539A" w:rsidRDefault="0075539A" w:rsidP="00DE3B3B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Odgovorna institucija</w:t>
            </w:r>
          </w:p>
        </w:tc>
        <w:tc>
          <w:tcPr>
            <w:tcW w:w="1800" w:type="dxa"/>
            <w:vMerge w:val="restart"/>
            <w:shd w:val="clear" w:color="auto" w:fill="DEEAF6"/>
          </w:tcPr>
          <w:p w:rsidR="0075539A" w:rsidRPr="0075539A" w:rsidRDefault="0075539A" w:rsidP="00DE3B3B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Potporne institucije</w:t>
            </w:r>
          </w:p>
        </w:tc>
        <w:tc>
          <w:tcPr>
            <w:tcW w:w="1350" w:type="dxa"/>
            <w:vMerge w:val="restart"/>
            <w:shd w:val="clear" w:color="auto" w:fill="DEEAF6"/>
          </w:tcPr>
          <w:p w:rsidR="0075539A" w:rsidRPr="0075539A" w:rsidRDefault="0075539A" w:rsidP="00DE3B3B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75539A"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  <w:t>PRORAČUN</w:t>
            </w:r>
          </w:p>
        </w:tc>
      </w:tr>
      <w:tr w:rsidR="002A7933" w:rsidRPr="0075539A" w:rsidTr="004956B8">
        <w:trPr>
          <w:trHeight w:val="432"/>
        </w:trPr>
        <w:tc>
          <w:tcPr>
            <w:tcW w:w="756" w:type="dxa"/>
            <w:vMerge/>
            <w:shd w:val="clear" w:color="auto" w:fill="DEEAF6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341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303" w:type="dxa"/>
            <w:vMerge/>
            <w:shd w:val="clear" w:color="auto" w:fill="FFF2CC"/>
          </w:tcPr>
          <w:p w:rsidR="0075539A" w:rsidRPr="0075539A" w:rsidRDefault="0075539A" w:rsidP="0075539A">
            <w:pPr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710" w:type="dxa"/>
            <w:gridSpan w:val="2"/>
            <w:shd w:val="clear" w:color="auto" w:fill="DEEAF6"/>
          </w:tcPr>
          <w:p w:rsidR="0075539A" w:rsidRPr="0075539A" w:rsidRDefault="00002D81" w:rsidP="00DE3B3B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2024</w:t>
            </w:r>
          </w:p>
        </w:tc>
        <w:tc>
          <w:tcPr>
            <w:tcW w:w="1080" w:type="dxa"/>
            <w:shd w:val="clear" w:color="auto" w:fill="DEEAF6"/>
          </w:tcPr>
          <w:p w:rsidR="0075539A" w:rsidRPr="0075539A" w:rsidRDefault="00002D81" w:rsidP="00DE3B3B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2025</w:t>
            </w:r>
          </w:p>
        </w:tc>
        <w:tc>
          <w:tcPr>
            <w:tcW w:w="1170" w:type="dxa"/>
            <w:gridSpan w:val="2"/>
            <w:shd w:val="clear" w:color="auto" w:fill="DEEAF6"/>
          </w:tcPr>
          <w:p w:rsidR="0075539A" w:rsidRPr="0075539A" w:rsidRDefault="00002D81" w:rsidP="00DE3B3B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2026</w:t>
            </w:r>
          </w:p>
        </w:tc>
        <w:tc>
          <w:tcPr>
            <w:tcW w:w="1530" w:type="dxa"/>
            <w:vMerge/>
            <w:shd w:val="clear" w:color="auto" w:fill="FFF2CC"/>
          </w:tcPr>
          <w:p w:rsidR="0075539A" w:rsidRPr="0075539A" w:rsidRDefault="0075539A" w:rsidP="00DE3B3B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vMerge/>
            <w:shd w:val="clear" w:color="auto" w:fill="FFF2CC"/>
          </w:tcPr>
          <w:p w:rsidR="0075539A" w:rsidRPr="0075539A" w:rsidRDefault="0075539A" w:rsidP="00DE3B3B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shd w:val="clear" w:color="auto" w:fill="FFF2CC"/>
          </w:tcPr>
          <w:p w:rsidR="0075539A" w:rsidRPr="0075539A" w:rsidRDefault="0075539A" w:rsidP="00DE3B3B">
            <w:pPr>
              <w:jc w:val="center"/>
              <w:rPr>
                <w:rFonts w:ascii="Book Antiqua" w:eastAsia="Calibri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2A7933" w:rsidRPr="003313C8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002D81" w:rsidRPr="00002D81" w:rsidRDefault="00002D81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2.4.1.</w:t>
            </w:r>
          </w:p>
        </w:tc>
        <w:tc>
          <w:tcPr>
            <w:tcW w:w="2341" w:type="dxa"/>
            <w:shd w:val="clear" w:color="auto" w:fill="auto"/>
          </w:tcPr>
          <w:p w:rsidR="00002D81" w:rsidRPr="004956B8" w:rsidRDefault="00002D81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Izrada i odobrenje okvira za praćenje</w:t>
            </w:r>
          </w:p>
        </w:tc>
        <w:tc>
          <w:tcPr>
            <w:tcW w:w="2303" w:type="dxa"/>
            <w:shd w:val="clear" w:color="auto" w:fill="auto"/>
          </w:tcPr>
          <w:p w:rsidR="00002D81" w:rsidRPr="004956B8" w:rsidRDefault="00002D81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Razvijen okvir za praćenje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DKA - Škole</w:t>
            </w:r>
          </w:p>
        </w:tc>
        <w:tc>
          <w:tcPr>
            <w:tcW w:w="180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0,00 €</w:t>
            </w:r>
          </w:p>
        </w:tc>
      </w:tr>
      <w:tr w:rsidR="002A7933" w:rsidRPr="003313C8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002D81" w:rsidRPr="00002D81" w:rsidRDefault="00002D81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2.4.2.</w:t>
            </w:r>
          </w:p>
        </w:tc>
        <w:tc>
          <w:tcPr>
            <w:tcW w:w="2341" w:type="dxa"/>
            <w:shd w:val="clear" w:color="auto" w:fill="auto"/>
          </w:tcPr>
          <w:p w:rsidR="00002D81" w:rsidRPr="004956B8" w:rsidRDefault="00002D81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Prikupljanje podataka prema okviru praćenja</w:t>
            </w:r>
          </w:p>
        </w:tc>
        <w:tc>
          <w:tcPr>
            <w:tcW w:w="2303" w:type="dxa"/>
            <w:shd w:val="clear" w:color="auto" w:fill="auto"/>
          </w:tcPr>
          <w:p w:rsidR="00002D81" w:rsidRPr="004956B8" w:rsidRDefault="00002D81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Podaci prikupljeni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</w:tc>
        <w:tc>
          <w:tcPr>
            <w:tcW w:w="180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0,00 €</w:t>
            </w:r>
          </w:p>
        </w:tc>
      </w:tr>
      <w:tr w:rsidR="002A7933" w:rsidRPr="003313C8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002D81" w:rsidRPr="00002D81" w:rsidRDefault="00002D81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2.4.3</w:t>
            </w:r>
          </w:p>
        </w:tc>
        <w:tc>
          <w:tcPr>
            <w:tcW w:w="2341" w:type="dxa"/>
            <w:shd w:val="clear" w:color="auto" w:fill="auto"/>
          </w:tcPr>
          <w:p w:rsidR="00002D81" w:rsidRPr="004956B8" w:rsidRDefault="00002D81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Analiza podataka</w:t>
            </w:r>
          </w:p>
        </w:tc>
        <w:tc>
          <w:tcPr>
            <w:tcW w:w="2303" w:type="dxa"/>
            <w:shd w:val="clear" w:color="auto" w:fill="auto"/>
          </w:tcPr>
          <w:p w:rsidR="00002D81" w:rsidRPr="004956B8" w:rsidRDefault="00002D81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Analizirani podaci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</w:tc>
        <w:tc>
          <w:tcPr>
            <w:tcW w:w="180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0,00 €</w:t>
            </w:r>
          </w:p>
        </w:tc>
      </w:tr>
      <w:tr w:rsidR="002A7933" w:rsidRPr="0075539A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002D81" w:rsidRPr="00002D81" w:rsidRDefault="00002D81" w:rsidP="00D05058">
            <w:pPr>
              <w:spacing w:after="0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2.4.4.</w:t>
            </w:r>
          </w:p>
        </w:tc>
        <w:tc>
          <w:tcPr>
            <w:tcW w:w="2341" w:type="dxa"/>
            <w:shd w:val="clear" w:color="auto" w:fill="auto"/>
          </w:tcPr>
          <w:p w:rsidR="00002D81" w:rsidRPr="004956B8" w:rsidRDefault="00002D81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Izvještavanje o provedbi akcijskog plana</w:t>
            </w:r>
          </w:p>
        </w:tc>
        <w:tc>
          <w:tcPr>
            <w:tcW w:w="2303" w:type="dxa"/>
            <w:shd w:val="clear" w:color="auto" w:fill="auto"/>
          </w:tcPr>
          <w:p w:rsidR="00002D81" w:rsidRPr="004956B8" w:rsidRDefault="00002D81" w:rsidP="00D05058">
            <w:pPr>
              <w:spacing w:after="0"/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Redovno godišnje izvješćivanje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MED</w:t>
            </w:r>
          </w:p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škola</w:t>
            </w:r>
          </w:p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MEST</w:t>
            </w:r>
          </w:p>
          <w:p w:rsidR="00002D81" w:rsidRPr="00002D81" w:rsidRDefault="00002D81" w:rsidP="00D05058">
            <w:pPr>
              <w:spacing w:after="0"/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PARTNERI</w:t>
            </w:r>
          </w:p>
        </w:tc>
        <w:tc>
          <w:tcPr>
            <w:tcW w:w="1350" w:type="dxa"/>
            <w:shd w:val="clear" w:color="auto" w:fill="auto"/>
          </w:tcPr>
          <w:p w:rsidR="00002D81" w:rsidRPr="00002D81" w:rsidRDefault="00002D81" w:rsidP="00D05058">
            <w:pPr>
              <w:spacing w:after="0"/>
              <w:jc w:val="center"/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0,00 €</w:t>
            </w:r>
          </w:p>
        </w:tc>
      </w:tr>
      <w:tr w:rsidR="002A7933" w:rsidRPr="0075539A" w:rsidTr="004956B8">
        <w:trPr>
          <w:trHeight w:val="516"/>
        </w:trPr>
        <w:tc>
          <w:tcPr>
            <w:tcW w:w="756" w:type="dxa"/>
            <w:shd w:val="clear" w:color="auto" w:fill="auto"/>
          </w:tcPr>
          <w:p w:rsidR="00002D81" w:rsidRPr="00002D81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2.4.5.</w:t>
            </w:r>
          </w:p>
        </w:tc>
        <w:tc>
          <w:tcPr>
            <w:tcW w:w="2341" w:type="dxa"/>
            <w:shd w:val="clear" w:color="auto" w:fill="auto"/>
          </w:tcPr>
          <w:p w:rsidR="00002D81" w:rsidRPr="004956B8" w:rsidRDefault="00002D81" w:rsidP="00002D81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color w:val="FF0000"/>
                <w:lang w:val="sq-AL"/>
              </w:rPr>
              <w:t xml:space="preserve">Mjerenje napretka </w:t>
            </w:r>
            <w:r w:rsidRPr="004956B8">
              <w:rPr>
                <w:rFonts w:ascii="Times New Roman" w:eastAsia="Calibri" w:hAnsi="Times New Roman" w:cs="Times New Roman"/>
                <w:b/>
                <w:color w:val="FF0000"/>
                <w:lang w:val="sq-AL"/>
              </w:rPr>
              <w:t>provedbe akcijskog plana</w:t>
            </w:r>
          </w:p>
        </w:tc>
        <w:tc>
          <w:tcPr>
            <w:tcW w:w="2303" w:type="dxa"/>
            <w:shd w:val="clear" w:color="auto" w:fill="auto"/>
          </w:tcPr>
          <w:p w:rsidR="00002D81" w:rsidRPr="004956B8" w:rsidRDefault="00002D81" w:rsidP="00002D81">
            <w:pPr>
              <w:rPr>
                <w:rFonts w:ascii="Times New Roman" w:eastAsia="Calibri" w:hAnsi="Times New Roman" w:cs="Times New Roman"/>
                <w:lang w:val="sq-AL"/>
              </w:rPr>
            </w:pPr>
            <w:r w:rsidRPr="004956B8">
              <w:rPr>
                <w:rFonts w:ascii="Times New Roman" w:eastAsia="Calibri" w:hAnsi="Times New Roman" w:cs="Times New Roman"/>
                <w:lang w:val="sq-AL"/>
              </w:rPr>
              <w:t>Redovno godišnje izvješćivanje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02D81" w:rsidRPr="00002D81" w:rsidRDefault="00002D81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002D81" w:rsidRPr="00002D81" w:rsidRDefault="00002D81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002D81" w:rsidRPr="00002D81" w:rsidRDefault="00002D81" w:rsidP="00DF0419">
            <w:pPr>
              <w:jc w:val="center"/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x</w:t>
            </w:r>
          </w:p>
        </w:tc>
        <w:tc>
          <w:tcPr>
            <w:tcW w:w="1530" w:type="dxa"/>
            <w:shd w:val="clear" w:color="auto" w:fill="auto"/>
          </w:tcPr>
          <w:p w:rsidR="00002D81" w:rsidRPr="00002D81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002D81" w:rsidRPr="00002D81" w:rsidRDefault="00002D81" w:rsidP="00002D81">
            <w:pPr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shd w:val="clear" w:color="auto" w:fill="auto"/>
          </w:tcPr>
          <w:p w:rsidR="00002D81" w:rsidRPr="00002D81" w:rsidRDefault="00002D81" w:rsidP="004956B8">
            <w:pPr>
              <w:jc w:val="center"/>
            </w:pPr>
            <w:r w:rsidRPr="00002D81">
              <w:rPr>
                <w:rFonts w:ascii="Book Antiqua" w:eastAsia="Calibri" w:hAnsi="Book Antiqua" w:cs="Times New Roman"/>
                <w:sz w:val="24"/>
                <w:szCs w:val="24"/>
                <w:lang w:val="sq-AL"/>
              </w:rPr>
              <w:t>0,00 €</w:t>
            </w:r>
          </w:p>
        </w:tc>
      </w:tr>
    </w:tbl>
    <w:p w:rsidR="0075539A" w:rsidRPr="0075539A" w:rsidRDefault="0075539A" w:rsidP="0075539A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DF0419" w:rsidRDefault="0075539A" w:rsidP="00270803">
      <w:pPr>
        <w:rPr>
          <w:rFonts w:ascii="Book Antiqua" w:eastAsia="Calibri" w:hAnsi="Book Antiqua" w:cs="Times New Roman"/>
          <w:sz w:val="24"/>
          <w:szCs w:val="24"/>
          <w:lang w:val="sq-AL"/>
        </w:rPr>
      </w:pPr>
      <w:r w:rsidRPr="0075539A">
        <w:rPr>
          <w:rFonts w:ascii="Book Antiqua" w:eastAsia="Calibri" w:hAnsi="Book Antiqua" w:cs="Times New Roman"/>
          <w:sz w:val="24"/>
          <w:szCs w:val="24"/>
          <w:lang w:val="sq-AL"/>
        </w:rPr>
        <w:t xml:space="preserve">  </w:t>
      </w:r>
    </w:p>
    <w:p w:rsidR="00DF0419" w:rsidRDefault="00DF0419" w:rsidP="00270803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DF0419" w:rsidRDefault="00DF0419" w:rsidP="00270803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DF0419" w:rsidRDefault="00DF0419" w:rsidP="00270803">
      <w:pPr>
        <w:rPr>
          <w:rFonts w:ascii="Book Antiqua" w:eastAsia="Calibri" w:hAnsi="Book Antiqua" w:cs="Times New Roman"/>
          <w:sz w:val="24"/>
          <w:szCs w:val="24"/>
          <w:lang w:val="sq-AL"/>
        </w:rPr>
      </w:pPr>
    </w:p>
    <w:p w:rsidR="0075539A" w:rsidRPr="0075539A" w:rsidRDefault="0075539A" w:rsidP="00270803">
      <w:pPr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>Dodatak: Relevantni pravni okvir, politički dokumenti i dodatne reference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>zakon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u w:val="single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Ustav Kosova,</w:t>
      </w:r>
    </w:p>
    <w:p w:rsidR="0075539A" w:rsidRPr="0075539A" w:rsidRDefault="00AA61DF" w:rsidP="0075539A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hyperlink r:id="rId13" w:history="1">
        <w:r w:rsidR="0075539A"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https://gzk.rks-gov.net/ActDocumentDetail.aspx?ActID=3702</w:t>
        </w:r>
      </w:hyperlink>
    </w:p>
    <w:p w:rsidR="0075539A" w:rsidRPr="0075539A" w:rsidRDefault="0075539A" w:rsidP="0075539A">
      <w:pPr>
        <w:spacing w:after="0" w:line="240" w:lineRule="auto"/>
        <w:ind w:left="720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Zakon 04/L-032 o preduniverzitetskom obrazovanju na Kosovu, 16. rujna 2011., </w:t>
      </w:r>
      <w:hyperlink r:id="rId14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https://gzk.rks-gov.net/ActDocumentDetail.aspx?ActID=2770</w:t>
        </w:r>
      </w:hyperlink>
    </w:p>
    <w:p w:rsidR="0075539A" w:rsidRPr="0075539A" w:rsidRDefault="0075539A" w:rsidP="0075539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Zakon br. 2003/12 o pristupu službenim dokumentima, 6. studenog 2003. </w:t>
      </w: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, </w:t>
      </w:r>
      <w:hyperlink r:id="rId15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https://gzk.rks-gov.net/ActDetail.aspx?ActID=2470</w:t>
        </w:r>
      </w:hyperlink>
    </w:p>
    <w:p w:rsidR="0075539A" w:rsidRPr="0075539A" w:rsidRDefault="0075539A" w:rsidP="0075539A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Zakon br. 03/L – 172 o zaštiti osobnih podataka, 31. svibnja 2010., </w:t>
      </w:r>
      <w:hyperlink r:id="rId16" w:history="1">
        <w:r w:rsidRPr="0075539A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https://gzk.rks-gov.net/ActDocumentDetail.aspx?ActID=2676</w:t>
        </w:r>
      </w:hyperlink>
    </w:p>
    <w:p w:rsidR="0075539A" w:rsidRPr="0075539A" w:rsidRDefault="0075539A" w:rsidP="0075539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en-GB"/>
        </w:rPr>
        <w:t xml:space="preserve">Zakon br. 02/L-37 </w:t>
      </w: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o uporabi jezika </w:t>
      </w: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en-GB"/>
        </w:rPr>
        <w:t>, 1. ožujka 2007</w:t>
      </w:r>
      <w:r w:rsidRPr="0075539A">
        <w:rPr>
          <w:rFonts w:ascii="Times New Roman" w:eastAsia="Times New Roman" w:hAnsi="Times New Roman" w:cs="Arial"/>
          <w:b/>
          <w:bCs/>
          <w:sz w:val="24"/>
          <w:szCs w:val="24"/>
          <w:lang w:val="sq-AL" w:eastAsia="en-GB"/>
        </w:rPr>
        <w:t xml:space="preserve"> </w:t>
      </w:r>
      <w:hyperlink r:id="rId17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en-GB"/>
          </w:rPr>
          <w:t>https://gzk.rks-gov.net/ActDocumentDetail.aspx?ActID=2440</w:t>
        </w:r>
      </w:hyperlink>
    </w:p>
    <w:p w:rsidR="0075539A" w:rsidRPr="0075539A" w:rsidRDefault="0075539A" w:rsidP="0075539A">
      <w:pPr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>Administrativne upute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Administrativno uputstvo 08/2018 za uspostavljanje i jačanje timova za prevenciju i odgovor na napuštanje i neupisivanje u preduniverzitetsko obrazovanje </w:t>
      </w:r>
      <w:hyperlink r:id="rId18" w:history="1">
        <w:r w:rsidRPr="0075539A">
          <w:rPr>
            <w:rFonts w:ascii="Times New Roman" w:eastAsia="Times New Roman" w:hAnsi="Times New Roman" w:cs="Arial"/>
            <w:bCs/>
            <w:color w:val="0000FF"/>
            <w:sz w:val="24"/>
            <w:szCs w:val="24"/>
            <w:u w:val="single"/>
            <w:lang w:val="sq-AL" w:eastAsia="tr-TR"/>
          </w:rPr>
          <w:t>https://masht.rks-gov.net/udhezimi-adinistrativ-masht-nr-08-2018 -per-themelimin-dhe -osnaživanje-prevencije-i-kbmnapu-timova/</w:t>
        </w:r>
      </w:hyperlink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Administrativna uputa br. 9/2011 o prikupljanju i izvješćivanju o statističkim podacima iz škola i predškolskih ustanova u preduniverzitetskom obrazovanju korištenjem sustava za upravljanje informacijama u obrazovanju, 30. prosinca 2012., </w:t>
      </w:r>
      <w:hyperlink r:id="rId19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https://masht.rks-gov.net/9-ua -po -prikupljanju-i-izvještavanju-statističkih-podataka-iz-škola-i-predškolskih-ustanova-u-predsveučilišnom-obrazovanju-upotrebom-sustava-za-upravljanje-informacijama/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UA za prelazak učenika </w:t>
      </w:r>
      <w:hyperlink r:id="rId20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https://masht.rks-gov.net/16-ua-per-kalimin-e-nxenesit-te-shkolles-se-mesme-te-larte-prej-nje-profili-arsimor- ne -još jedan-iz-jedne-škole-u-drugu-školu-br.16-2011-datum-30-12-2011/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AU. 08/2022 za školsku dokumentaciju preduniverzitetskog obrazovanja, </w:t>
      </w:r>
      <w:hyperlink r:id="rId21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 xml:space="preserve">https://masht.rks-gov.net/udhezim-administrativ-masht-nr-08-per-dokumentacionin-shkollor-ne-arsimin-parauniversitaria 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/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UA 03/2012 Ekvivalencija i priznavanje isprava o preduniverzitetskom obrazovanju izdanih izvan Republike Kosovo </w:t>
      </w:r>
      <w:hyperlink r:id="rId22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https://masht.rks-gov.net/ua-barasvlera-dhe-njohja-e-dokumenteve-te-arsimit-parauniversitary-te - izdano-izvan-republike-kosovo-br.-03-2012-datum-02-05-2012/</w:t>
        </w:r>
      </w:hyperlink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lastRenderedPageBreak/>
        <w:t xml:space="preserve">UA 19/2015, Za sistematizaciju učenika koji su migrirali od školske godine 2014/2015 </w:t>
      </w:r>
      <w:hyperlink r:id="rId23" w:history="1">
        <w:r w:rsidRPr="0075539A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  <w:lang w:val="sq-AL" w:eastAsia="tr-TR"/>
          </w:rPr>
          <w:t>https://masht.rks-gov.net/ua-masht-nr-19-2015-per-sisteminin-e-nxenesve- te -koji-su-se-migrirali-iz-skolske-godine-2014-2015/</w:t>
        </w:r>
      </w:hyperlink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UA 1/2016, Utvrđivanje uvjeta, kriterija i postupaka za organizaciju dopunskog obrazovanja za repatrirane učenike </w:t>
      </w:r>
      <w:hyperlink r:id="rId24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https://masht.rks-gov.net/ua-nr-01-2016-dt-12-01-2016-per -utvrđivanje-uvjeta-kriterija-i-postupka-za-organizaciju-dopunske-nastave-za-povratnike-učenike-organizaciju-i-planiranje-obrazovnog-procesa-u-umjetnosti /</w:t>
        </w:r>
      </w:hyperlink>
      <w:r w:rsidR="00DE3B3B">
        <w:rPr>
          <w:rFonts w:ascii="Times New Roman" w:eastAsia="Times New Roman" w:hAnsi="Times New Roman" w:cs="Carlito"/>
          <w:color w:val="0000FF"/>
          <w:sz w:val="24"/>
          <w:szCs w:val="24"/>
          <w:u w:val="single"/>
          <w:lang w:val="sq-AL" w:eastAsia="tr-TR"/>
        </w:rPr>
        <w:t xml:space="preserve">    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UA 01/2014 za organizaciju i planiranje VET-a </w:t>
      </w:r>
      <w:hyperlink r:id="rId25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 xml:space="preserve">https://masht.rks-gov.net/ua-masht-nr-01-2014-organizimi-dhe-planificación-i-procesit-arsimor-ne-arsimin-dhe - profesionalne vještine/ </w:t>
        </w:r>
      </w:hyperlink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.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UA 02/2014 Broj studenata s AAP modulima i kvalifikacijama, resursi, infrastruktura i sigurnost studenata </w:t>
      </w:r>
      <w:hyperlink r:id="rId26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https://masht.rks-gov.net/ua-masht-nr-02-2014-numri-i-nxenesve-me- modules -and-qualifications-of-aap-resources-school-infrastructure-student-safety/</w:t>
        </w:r>
      </w:hyperlink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UA (MONT) br. 06.2014 Kodeks ponašanja i disciplinske mjere za učenike srednjih škola </w:t>
      </w:r>
      <w:hyperlink r:id="rId27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https://gzk.rks-gov.net/ActDocumentDetail.aspx?ActID=10128</w:t>
        </w:r>
      </w:hyperlink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UA- MAST br: 12/2014 Dobne iznimke u slučaju upisa u obrazovanje i osposobljavanje odraslih </w:t>
      </w:r>
      <w:hyperlink r:id="rId28" w:history="1">
        <w:r w:rsidRPr="0075539A">
          <w:rPr>
            <w:rFonts w:ascii="Times New Roman" w:eastAsia="Times New Roman" w:hAnsi="Times New Roman" w:cs="Carlito"/>
            <w:color w:val="0000FF"/>
            <w:sz w:val="24"/>
            <w:szCs w:val="24"/>
            <w:u w:val="single"/>
            <w:lang w:val="sq-AL" w:eastAsia="tr-TR"/>
          </w:rPr>
          <w:t>https://masht.rks-gov.net/ua-masht-nr-12-2014-perjashtimet-ne-moshe-on- povod-upisa-u-obrazovanje i-sposobnost-za-rast/</w:t>
        </w:r>
      </w:hyperlink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(Politika dualnog učenja započela je od rujna 2022. u početku u 4 profila: kuhar, pomoćni radnik u restoranu, frizer i zidar)</w:t>
      </w:r>
    </w:p>
    <w:p w:rsid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Ministarstvo obrazovanja zainteresirano je za dualni sustav obrazovanja, s ciljem suradnje u svakoj općini s gospodarskim subjektima koji imaju mogućnosti zapošljavanja mladih, brige o zaštiti na radu i problematike rada učenika mlađih od 18 godina. godine.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>Nacionalne strategije/akcijski planovi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Cs/>
          <w:sz w:val="24"/>
          <w:szCs w:val="24"/>
          <w:lang w:val="sq-AL" w:eastAsia="tr-TR"/>
        </w:rPr>
        <w:t>Strateški plan obrazovanja na Kosovu (2022-2026),</w:t>
      </w: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Strategija za prava djeteta (2019.-2023.),</w:t>
      </w: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Nacionalna strategija protiv trgovine ljudima na Kosovu (2022-2026),</w:t>
      </w: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sz w:val="24"/>
          <w:szCs w:val="24"/>
          <w:lang w:val="sq-AL" w:eastAsia="tr-TR"/>
        </w:rPr>
        <w:t>Strategija i akcijski plan za uključivanje zajednica Roma i Aškalija u kosovsko društvo (2022.-2026.).</w:t>
      </w:r>
    </w:p>
    <w:p w:rsidR="0075539A" w:rsidRPr="00270803" w:rsidRDefault="00270803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</w:pPr>
      <w:r>
        <w:rPr>
          <w:rFonts w:ascii="Times New Roman" w:eastAsia="Times New Roman" w:hAnsi="Times New Roman" w:cs="Arial"/>
          <w:b/>
          <w:i/>
          <w:sz w:val="24"/>
          <w:szCs w:val="24"/>
          <w:lang w:val="sq-AL" w:eastAsia="tr-TR"/>
        </w:rPr>
        <w:t xml:space="preserve">    </w:t>
      </w:r>
      <w:r w:rsidR="0075539A"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 xml:space="preserve"> 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b/>
          <w:sz w:val="24"/>
          <w:szCs w:val="24"/>
          <w:lang w:val="sq-AL" w:eastAsia="tr-TR"/>
        </w:rPr>
        <w:t>Drugi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 xml:space="preserve">Jednake mogućnosti obrazovanja za sve, Priručnik za školske timove za prevenciju i odgovor na osipanje i neupisivanje u obvezno obrazovanje </w:t>
      </w:r>
      <w:r w:rsidRPr="0075539A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t>(MONT, 2023.)</w:t>
      </w:r>
      <w:r w:rsidRPr="0075539A">
        <w:rPr>
          <w:rFonts w:ascii="Arial" w:eastAsia="Arial" w:hAnsi="Arial" w:cs="Arial"/>
          <w:lang w:val="sq-AL"/>
        </w:rPr>
        <w:t xml:space="preserve"> </w:t>
      </w: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i/>
          <w:noProof/>
          <w:sz w:val="24"/>
          <w:szCs w:val="24"/>
          <w:lang w:val="sq-AL" w:eastAsia="tr-TR"/>
        </w:rPr>
        <w:t xml:space="preserve">Jednake mogućnosti za obrazovanje za sve, Priručnik za općinske timove za prevenciju i odgovor na osipanje i neupisivanje u obvezno obrazovanje ( </w:t>
      </w:r>
      <w:r w:rsidRPr="0075539A">
        <w:rPr>
          <w:rFonts w:ascii="Times New Roman" w:eastAsia="Times New Roman" w:hAnsi="Times New Roman" w:cs="Carlito"/>
          <w:noProof/>
          <w:sz w:val="24"/>
          <w:szCs w:val="24"/>
          <w:lang w:val="sq-AL" w:eastAsia="tr-TR"/>
        </w:rPr>
        <w:t>MONT, 2023.)</w:t>
      </w: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t xml:space="preserve">Njemačka agencija za međunarodnu suradnju (GIZ) </w:t>
      </w: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, Suočavanje s odbijanjem školovanja i napuštanjem škole: praktični priručnik (listopad 2011.).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noProof/>
          <w:sz w:val="24"/>
          <w:szCs w:val="24"/>
          <w:lang w:val="sq-AL" w:eastAsia="tr-TR"/>
        </w:rPr>
        <w:t xml:space="preserve">Izvješće OESS-a: </w:t>
      </w: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Praćenje napuštanja škole i nepohađanja nastave na Kosovu http://www.osce.org/sq/kosovo/95113?download=true (pristupljeno 24. ožujka 2014.).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rPr>
          <w:rFonts w:ascii="Times New Roman" w:eastAsia="Times New Roman" w:hAnsi="Times New Roman" w:cs="Carlito"/>
          <w:i/>
          <w:noProof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Upis i napuštanje škole od strane djevojčica na Kosovu (MAShT &amp; UNICEF 2004).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  <w:t>Napuštanje škole od strane učenika na Kosovu (MONT, 2008.)</w:t>
      </w:r>
    </w:p>
    <w:p w:rsidR="0075539A" w:rsidRPr="0075539A" w:rsidRDefault="0075539A" w:rsidP="007553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i/>
          <w:noProof/>
          <w:sz w:val="24"/>
          <w:szCs w:val="24"/>
          <w:lang w:val="sq-AL" w:eastAsia="tr-TR"/>
        </w:rPr>
      </w:pPr>
    </w:p>
    <w:p w:rsidR="0075539A" w:rsidRPr="0075539A" w:rsidRDefault="0075539A" w:rsidP="0075539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Pedagoški institut Kosova, </w:t>
      </w:r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 xml:space="preserve">Djeca izvan škole – Osnovna studija o praksi prevencije i odgovora na napuštanje škole i neupisivanje u školu </w:t>
      </w: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(2014.)</w:t>
      </w:r>
    </w:p>
    <w:p w:rsidR="0075539A" w:rsidRPr="0075539A" w:rsidRDefault="0075539A" w:rsidP="0075539A">
      <w:pPr>
        <w:widowControl w:val="0"/>
        <w:autoSpaceDE w:val="0"/>
        <w:autoSpaceDN w:val="0"/>
        <w:spacing w:after="0" w:line="240" w:lineRule="auto"/>
        <w:ind w:left="1077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131112" w:rsidRDefault="0075539A" w:rsidP="0075539A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  <w:r w:rsidRPr="0075539A">
        <w:rPr>
          <w:rFonts w:ascii="Times New Roman" w:eastAsia="Times New Roman" w:hAnsi="Times New Roman" w:cs="Carlito"/>
          <w:sz w:val="24"/>
          <w:szCs w:val="24"/>
          <w:lang w:val="sq-AL" w:eastAsia="tr-TR"/>
        </w:rPr>
        <w:t xml:space="preserve">UNICEF, Policy Brief - </w:t>
      </w:r>
      <w:r w:rsidRPr="0075539A">
        <w:rPr>
          <w:rFonts w:ascii="Times New Roman" w:eastAsia="Times New Roman" w:hAnsi="Times New Roman" w:cs="Carlito"/>
          <w:i/>
          <w:sz w:val="24"/>
          <w:szCs w:val="24"/>
          <w:lang w:val="sq-AL" w:eastAsia="tr-TR"/>
        </w:rPr>
        <w:t xml:space="preserve">Sva djeca se upisuju, pohađaju i završavaju obrazovanje </w:t>
      </w:r>
      <w:r w:rsidR="001059F8">
        <w:rPr>
          <w:rFonts w:ascii="Times New Roman" w:eastAsia="Times New Roman" w:hAnsi="Times New Roman" w:cs="Carlito"/>
          <w:sz w:val="24"/>
          <w:szCs w:val="24"/>
          <w:lang w:val="sq-AL" w:eastAsia="tr-TR"/>
        </w:rPr>
        <w:t>, 2014</w:t>
      </w:r>
    </w:p>
    <w:p w:rsidR="00131112" w:rsidRPr="00131112" w:rsidRDefault="00131112" w:rsidP="00131112">
      <w:pPr>
        <w:rPr>
          <w:rFonts w:ascii="Times New Roman" w:eastAsia="Times New Roman" w:hAnsi="Times New Roman" w:cs="Carlito"/>
          <w:sz w:val="24"/>
          <w:szCs w:val="24"/>
          <w:lang w:val="sq-AL" w:eastAsia="tr-TR"/>
        </w:rPr>
      </w:pPr>
    </w:p>
    <w:p w:rsidR="00DF39B0" w:rsidRPr="003A7D7D" w:rsidRDefault="00131112" w:rsidP="00131112">
      <w:pPr>
        <w:tabs>
          <w:tab w:val="left" w:pos="956"/>
        </w:tabs>
        <w:rPr>
          <w:rFonts w:ascii="Book Antiqua" w:hAnsi="Book Antiqua"/>
          <w:sz w:val="24"/>
          <w:szCs w:val="24"/>
        </w:rPr>
      </w:pPr>
      <w:r>
        <w:rPr>
          <w:rFonts w:ascii="Times New Roman" w:eastAsia="Times New Roman" w:hAnsi="Times New Roman" w:cs="Carlito"/>
          <w:sz w:val="24"/>
          <w:szCs w:val="24"/>
          <w:lang w:val="sq-AL" w:eastAsia="tr-TR"/>
        </w:rPr>
        <w:tab/>
      </w:r>
    </w:p>
    <w:sectPr w:rsidR="00DF39B0" w:rsidRPr="003A7D7D" w:rsidSect="00DF0419">
      <w:pgSz w:w="15840" w:h="12240" w:orient="landscape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DF" w:rsidRDefault="00AA61DF">
      <w:pPr>
        <w:spacing w:after="0" w:line="240" w:lineRule="auto"/>
      </w:pPr>
      <w:r>
        <w:separator/>
      </w:r>
    </w:p>
  </w:endnote>
  <w:endnote w:type="continuationSeparator" w:id="0">
    <w:p w:rsidR="00AA61DF" w:rsidRDefault="00AA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71" w:rsidRDefault="001B78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40A4">
      <w:rPr>
        <w:noProof/>
      </w:rPr>
      <w:t>3</w:t>
    </w:r>
    <w:r>
      <w:fldChar w:fldCharType="end"/>
    </w:r>
  </w:p>
  <w:p w:rsidR="001B7871" w:rsidRDefault="001B78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71" w:rsidRDefault="001B7871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inline distT="0" distB="0" distL="0" distR="0">
              <wp:extent cx="5933440" cy="54610"/>
              <wp:effectExtent l="9525" t="19050" r="10160" b="12065"/>
              <wp:docPr id="2" name="Flowchart: Decisio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0991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2D851D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2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" fillcolor="black">
              <w10:anchorlock/>
            </v:shape>
          </w:pict>
        </mc:Fallback>
      </mc:AlternateContent>
    </w:r>
  </w:p>
  <w:p w:rsidR="001B7871" w:rsidRDefault="001B7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DF" w:rsidRDefault="00AA61DF">
      <w:pPr>
        <w:spacing w:after="0" w:line="240" w:lineRule="auto"/>
      </w:pPr>
      <w:r>
        <w:separator/>
      </w:r>
    </w:p>
  </w:footnote>
  <w:footnote w:type="continuationSeparator" w:id="0">
    <w:p w:rsidR="00AA61DF" w:rsidRDefault="00AA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71" w:rsidRPr="009D2023" w:rsidRDefault="001B7871" w:rsidP="00DA3954">
    <w:pPr>
      <w:pStyle w:val="Header"/>
      <w:pBdr>
        <w:between w:val="single" w:sz="4" w:space="1" w:color="4F81BD"/>
      </w:pBdr>
      <w:spacing w:line="276" w:lineRule="auto"/>
      <w:jc w:val="center"/>
      <w:rPr>
        <w:rFonts w:ascii="Times New Roman" w:hAnsi="Times New Roman"/>
        <w:sz w:val="24"/>
        <w:szCs w:val="24"/>
        <w:lang w:val="sq-AL"/>
      </w:rPr>
    </w:pPr>
    <w:r w:rsidRPr="009D2023">
      <w:rPr>
        <w:rFonts w:ascii="Times New Roman" w:hAnsi="Times New Roman"/>
        <w:sz w:val="24"/>
        <w:szCs w:val="24"/>
        <w:lang w:val="sq-AL"/>
      </w:rPr>
      <w:t>Općinski akcijski plan protiv napuštanja škole i neupisivanja 2024.-26</w:t>
    </w:r>
  </w:p>
  <w:p w:rsidR="001B7871" w:rsidRDefault="001B7871">
    <w:pPr>
      <w:pStyle w:val="Header"/>
      <w:pBdr>
        <w:between w:val="single" w:sz="4" w:space="1" w:color="4F81BD"/>
      </w:pBdr>
      <w:spacing w:line="276" w:lineRule="auto"/>
      <w:jc w:val="center"/>
    </w:pPr>
  </w:p>
  <w:p w:rsidR="001B7871" w:rsidRDefault="001B78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871" w:rsidRPr="005555EE" w:rsidRDefault="001B7871" w:rsidP="00DA3954">
    <w:pPr>
      <w:pStyle w:val="Header"/>
    </w:pPr>
    <w:r w:rsidRPr="005555EE">
      <w:rPr>
        <w:noProof/>
        <w:lang w:eastAsia="zh-TW"/>
      </w:rPr>
      <w:t>Općinski akcijski plan protiv napuštanja škole i neupisivanja 2024.-2026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46DB"/>
    <w:multiLevelType w:val="hybridMultilevel"/>
    <w:tmpl w:val="0EA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2E4D"/>
    <w:multiLevelType w:val="hybridMultilevel"/>
    <w:tmpl w:val="FBD85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377CC"/>
    <w:multiLevelType w:val="hybridMultilevel"/>
    <w:tmpl w:val="D5C8F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F1CDC"/>
    <w:multiLevelType w:val="hybridMultilevel"/>
    <w:tmpl w:val="BB5E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05106"/>
    <w:multiLevelType w:val="hybridMultilevel"/>
    <w:tmpl w:val="1D70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F3C29"/>
    <w:multiLevelType w:val="hybridMultilevel"/>
    <w:tmpl w:val="2B6637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B2158"/>
    <w:multiLevelType w:val="multilevel"/>
    <w:tmpl w:val="E1C040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50D4181"/>
    <w:multiLevelType w:val="hybridMultilevel"/>
    <w:tmpl w:val="A55A122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A4A2BCB"/>
    <w:multiLevelType w:val="hybridMultilevel"/>
    <w:tmpl w:val="8808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B0"/>
    <w:rsid w:val="00002D81"/>
    <w:rsid w:val="000633D4"/>
    <w:rsid w:val="000734C8"/>
    <w:rsid w:val="00073688"/>
    <w:rsid w:val="000764C2"/>
    <w:rsid w:val="000B08DE"/>
    <w:rsid w:val="001059F8"/>
    <w:rsid w:val="00106ABA"/>
    <w:rsid w:val="00106D38"/>
    <w:rsid w:val="00131112"/>
    <w:rsid w:val="0013291A"/>
    <w:rsid w:val="00156D5F"/>
    <w:rsid w:val="00191A6F"/>
    <w:rsid w:val="001A3295"/>
    <w:rsid w:val="001B7871"/>
    <w:rsid w:val="001D0AD3"/>
    <w:rsid w:val="001D4C6C"/>
    <w:rsid w:val="001F7ACC"/>
    <w:rsid w:val="00221470"/>
    <w:rsid w:val="002269CE"/>
    <w:rsid w:val="0026353A"/>
    <w:rsid w:val="00270803"/>
    <w:rsid w:val="0027336A"/>
    <w:rsid w:val="00286215"/>
    <w:rsid w:val="002A7020"/>
    <w:rsid w:val="002A7933"/>
    <w:rsid w:val="002B2E93"/>
    <w:rsid w:val="002E5C8B"/>
    <w:rsid w:val="003313C8"/>
    <w:rsid w:val="0034558D"/>
    <w:rsid w:val="0034712C"/>
    <w:rsid w:val="00373C51"/>
    <w:rsid w:val="003A7D7D"/>
    <w:rsid w:val="003D21EE"/>
    <w:rsid w:val="003F2D0B"/>
    <w:rsid w:val="00416585"/>
    <w:rsid w:val="0046027B"/>
    <w:rsid w:val="004956B8"/>
    <w:rsid w:val="004A1894"/>
    <w:rsid w:val="004A3131"/>
    <w:rsid w:val="004D4722"/>
    <w:rsid w:val="004D4FB5"/>
    <w:rsid w:val="0053583D"/>
    <w:rsid w:val="005453D7"/>
    <w:rsid w:val="0058713C"/>
    <w:rsid w:val="005B0915"/>
    <w:rsid w:val="005E0754"/>
    <w:rsid w:val="00614ABE"/>
    <w:rsid w:val="006406EF"/>
    <w:rsid w:val="00661460"/>
    <w:rsid w:val="006940A4"/>
    <w:rsid w:val="006A78ED"/>
    <w:rsid w:val="006E5882"/>
    <w:rsid w:val="006E6CB0"/>
    <w:rsid w:val="00710D9F"/>
    <w:rsid w:val="0075539A"/>
    <w:rsid w:val="007B5B79"/>
    <w:rsid w:val="00812DD5"/>
    <w:rsid w:val="00823CF4"/>
    <w:rsid w:val="008344A9"/>
    <w:rsid w:val="00871FF8"/>
    <w:rsid w:val="00880050"/>
    <w:rsid w:val="00895693"/>
    <w:rsid w:val="008D3263"/>
    <w:rsid w:val="008D5C70"/>
    <w:rsid w:val="008E558D"/>
    <w:rsid w:val="00911305"/>
    <w:rsid w:val="009122C4"/>
    <w:rsid w:val="009335F9"/>
    <w:rsid w:val="00944752"/>
    <w:rsid w:val="00945E2D"/>
    <w:rsid w:val="00987F00"/>
    <w:rsid w:val="009A2AE8"/>
    <w:rsid w:val="009B0D89"/>
    <w:rsid w:val="00A058D8"/>
    <w:rsid w:val="00A065BD"/>
    <w:rsid w:val="00A25090"/>
    <w:rsid w:val="00AA61DF"/>
    <w:rsid w:val="00AC1682"/>
    <w:rsid w:val="00AC3201"/>
    <w:rsid w:val="00AF2C86"/>
    <w:rsid w:val="00B033B0"/>
    <w:rsid w:val="00B05B8E"/>
    <w:rsid w:val="00B32A71"/>
    <w:rsid w:val="00B62191"/>
    <w:rsid w:val="00B814FC"/>
    <w:rsid w:val="00B909ED"/>
    <w:rsid w:val="00BC34DF"/>
    <w:rsid w:val="00BD3459"/>
    <w:rsid w:val="00C027B1"/>
    <w:rsid w:val="00C11CF0"/>
    <w:rsid w:val="00C37B8C"/>
    <w:rsid w:val="00C429CB"/>
    <w:rsid w:val="00C74F55"/>
    <w:rsid w:val="00C821F3"/>
    <w:rsid w:val="00C920F2"/>
    <w:rsid w:val="00CD5352"/>
    <w:rsid w:val="00CD5F65"/>
    <w:rsid w:val="00D05058"/>
    <w:rsid w:val="00D157DA"/>
    <w:rsid w:val="00D34312"/>
    <w:rsid w:val="00D70973"/>
    <w:rsid w:val="00D828A9"/>
    <w:rsid w:val="00DA3954"/>
    <w:rsid w:val="00DD7DAE"/>
    <w:rsid w:val="00DE0419"/>
    <w:rsid w:val="00DE3B3B"/>
    <w:rsid w:val="00DF0419"/>
    <w:rsid w:val="00DF180B"/>
    <w:rsid w:val="00DF39B0"/>
    <w:rsid w:val="00DF6F48"/>
    <w:rsid w:val="00E02E5B"/>
    <w:rsid w:val="00E144EE"/>
    <w:rsid w:val="00E25CAA"/>
    <w:rsid w:val="00E367AA"/>
    <w:rsid w:val="00E51902"/>
    <w:rsid w:val="00E9081B"/>
    <w:rsid w:val="00EB044B"/>
    <w:rsid w:val="00EC3115"/>
    <w:rsid w:val="00ED239C"/>
    <w:rsid w:val="00EE0F5A"/>
    <w:rsid w:val="00EF3C87"/>
    <w:rsid w:val="00F0391A"/>
    <w:rsid w:val="00F433F8"/>
    <w:rsid w:val="00F442C0"/>
    <w:rsid w:val="00F87B0A"/>
    <w:rsid w:val="00F96E26"/>
    <w:rsid w:val="00FA393B"/>
    <w:rsid w:val="00FF1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9D41D-94B8-4D4F-9FC7-9CBFFD77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6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9A"/>
  </w:style>
  <w:style w:type="paragraph" w:styleId="Footer">
    <w:name w:val="footer"/>
    <w:basedOn w:val="Normal"/>
    <w:link w:val="FooterChar"/>
    <w:uiPriority w:val="99"/>
    <w:unhideWhenUsed/>
    <w:rsid w:val="00755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9A"/>
  </w:style>
  <w:style w:type="paragraph" w:styleId="BalloonText">
    <w:name w:val="Balloon Text"/>
    <w:basedOn w:val="Normal"/>
    <w:link w:val="BalloonTextChar"/>
    <w:uiPriority w:val="99"/>
    <w:semiHidden/>
    <w:unhideWhenUsed/>
    <w:rsid w:val="001B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gzk.rks-gov.net/ActDocumentDetail.aspx?ActID=3702" TargetMode="External"/><Relationship Id="rId18" Type="http://schemas.openxmlformats.org/officeDocument/2006/relationships/hyperlink" Target="https://masht.rks-gov.net/udhezimi-adinistrativ-masht-nr-08-2018-per-themelimin-dhe-fuqizimin-e-ekipeve-parandalimdhe-kbmnapu/" TargetMode="External"/><Relationship Id="rId26" Type="http://schemas.openxmlformats.org/officeDocument/2006/relationships/hyperlink" Target="https://masht.rks-gov.net/ua-masht-nr-02-2014-numri-i-nxenesve-me-module-dhe-kualifikime-te-aap-resurset-infrastruktura-shkollore-siguria-e-nxenesv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sht.rks-gov.net/udhezim-administrativ-masht-nr-08-per-dokumentacionin-shkollor-ne-arsimin-parauniversitar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gzk.rks-gov.net/ActDocumentDetail.aspx?ActID=2440" TargetMode="External"/><Relationship Id="rId25" Type="http://schemas.openxmlformats.org/officeDocument/2006/relationships/hyperlink" Target="https://masht.rks-gov.net/ua-masht-nr-01-2014-organizimi-dhe-planifikimi-i-procesit-arsimor-ne-arsimin-dhe-aftesimin-profesion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zk.rks-gov.net/ActDocumentDetail.aspx?ActID=2676" TargetMode="External"/><Relationship Id="rId20" Type="http://schemas.openxmlformats.org/officeDocument/2006/relationships/hyperlink" Target="https://masht.rks-gov.net/16-ua-per-kalimin-e-nxenesit-te-shkolles-se-mesme-te-larte-prej-nje-profili-arsimor-ne-tjetrin-prej-nje-shkolle-ne-shkollen-tjeter-nr-16-2011-date-30-12-201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masht.rks-gov.net/ua-nr-01-2016-dt-12-01-2016-per-percaktimin-e-kushteve-kritereve-dhe-procedurave-per-organizimin-e-mesimit-plotesues-per-nxenesit-e-riatdhesuar-organizimi-dhe-planifikimi-i-procesit-arsimor-ne-a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zk.rks-gov.net/ActDetail.aspx?ActID=2470" TargetMode="External"/><Relationship Id="rId23" Type="http://schemas.openxmlformats.org/officeDocument/2006/relationships/hyperlink" Target="https://masht.rks-gov.net/ua-masht-nr-19-2015-per-sisteminin-e-nxenesve-te-cilet-kane-migruar-nga-viti-shkollor-2014-2015/" TargetMode="External"/><Relationship Id="rId28" Type="http://schemas.openxmlformats.org/officeDocument/2006/relationships/hyperlink" Target="https://masht.rks-gov.net/ua-masht-nr-12-2014-perjashtimet-ne-moshe-me-rastin-e-regjistrimit-ne-arsimin-dhe-aftesimin-per-te-rritur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asht.rks-gov.net/9-ua-per-mbledhjen-dhe-raportimin-e-te-dhenave-statestikore-nga-shkollat-dhe-institucionet-parashkollore-ne-arsimimin-parauniversitar-duke-perdorur-sistemin-per-menaxhimin-e-informative-n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gzk.rks-gov.net/ActDocumentDetail.aspx?ActID=2770" TargetMode="External"/><Relationship Id="rId22" Type="http://schemas.openxmlformats.org/officeDocument/2006/relationships/hyperlink" Target="https://masht.rks-gov.net/ua-barasvlera-dhe-njohja-e-dokumenteve-te-arsimit-parauniversitar-te-leshuara-jashte-republikes-se-kosoves-nr-03-2012-date-02-05-2012/" TargetMode="External"/><Relationship Id="rId27" Type="http://schemas.openxmlformats.org/officeDocument/2006/relationships/hyperlink" Target="https://gzk.rks-gov.net/ActDocumentDetail.aspx?ActID=1012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6AEA-E558-42D8-9F01-40D77AE8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3823</Words>
  <Characters>21797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Merita Jonuzi</dc:creator>
  <cp:lastModifiedBy>Bukurie Zejnullahu-Jashari</cp:lastModifiedBy>
  <cp:revision>2</cp:revision>
  <cp:lastPrinted>2024-05-31T07:15:00Z</cp:lastPrinted>
  <dcterms:created xsi:type="dcterms:W3CDTF">2024-06-04T07:11:00Z</dcterms:created>
  <dcterms:modified xsi:type="dcterms:W3CDTF">2024-06-04T07:11:00Z</dcterms:modified>
</cp:coreProperties>
</file>