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318" w:rsidRPr="00BF7992" w:rsidRDefault="00343318" w:rsidP="00343318">
      <w:r w:rsidRPr="00BF7992">
        <w:rPr>
          <w:noProof/>
          <w:lang w:val="en-US"/>
        </w:rPr>
        <w:drawing>
          <wp:anchor distT="0" distB="0" distL="114300" distR="114300" simplePos="0" relativeHeight="251660288" behindDoc="0" locked="0" layoutInCell="0" allowOverlap="1">
            <wp:simplePos x="0" y="0"/>
            <wp:positionH relativeFrom="column">
              <wp:posOffset>6930489</wp:posOffset>
            </wp:positionH>
            <wp:positionV relativeFrom="paragraph">
              <wp:posOffset>-688769</wp:posOffset>
            </wp:positionV>
            <wp:extent cx="990353" cy="1126020"/>
            <wp:effectExtent l="19050" t="0" r="247"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992231" cy="1128156"/>
                    </a:xfrm>
                    <a:prstGeom prst="rect">
                      <a:avLst/>
                    </a:prstGeom>
                    <a:noFill/>
                    <a:ln w="9525">
                      <a:noFill/>
                      <a:miter lim="800000"/>
                      <a:headEnd/>
                      <a:tailEnd/>
                    </a:ln>
                  </pic:spPr>
                </pic:pic>
              </a:graphicData>
            </a:graphic>
          </wp:anchor>
        </w:drawing>
      </w:r>
      <w:r w:rsidRPr="00BF7992">
        <w:rPr>
          <w:noProof/>
          <w:lang w:val="en-US"/>
        </w:rPr>
        <w:drawing>
          <wp:anchor distT="0" distB="0" distL="114300" distR="114300" simplePos="0" relativeHeight="251659264" behindDoc="0" locked="0" layoutInCell="0" allowOverlap="1">
            <wp:simplePos x="0" y="0"/>
            <wp:positionH relativeFrom="column">
              <wp:posOffset>-254083</wp:posOffset>
            </wp:positionH>
            <wp:positionV relativeFrom="paragraph">
              <wp:posOffset>-688769</wp:posOffset>
            </wp:positionV>
            <wp:extent cx="1109106" cy="1270660"/>
            <wp:effectExtent l="19050" t="0" r="0" b="0"/>
            <wp:wrapNone/>
            <wp:docPr id="2" name="Picture 2" descr="flamuri_stema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muri_stema_02"/>
                    <pic:cNvPicPr>
                      <a:picLocks noChangeAspect="1" noChangeArrowheads="1"/>
                    </pic:cNvPicPr>
                  </pic:nvPicPr>
                  <pic:blipFill>
                    <a:blip r:embed="rId6"/>
                    <a:srcRect/>
                    <a:stretch>
                      <a:fillRect/>
                    </a:stretch>
                  </pic:blipFill>
                  <pic:spPr bwMode="auto">
                    <a:xfrm>
                      <a:off x="0" y="0"/>
                      <a:ext cx="1109106" cy="1270660"/>
                    </a:xfrm>
                    <a:prstGeom prst="rect">
                      <a:avLst/>
                    </a:prstGeom>
                    <a:noFill/>
                    <a:ln w="9525">
                      <a:noFill/>
                      <a:miter lim="800000"/>
                      <a:headEnd/>
                      <a:tailEnd/>
                    </a:ln>
                  </pic:spPr>
                </pic:pic>
              </a:graphicData>
            </a:graphic>
          </wp:anchor>
        </w:drawing>
      </w:r>
    </w:p>
    <w:p w:rsidR="00343318" w:rsidRPr="00BF7992" w:rsidRDefault="00343318" w:rsidP="00343318"/>
    <w:p w:rsidR="00343318" w:rsidRPr="00BF7992" w:rsidRDefault="00343318" w:rsidP="00343318">
      <w:r w:rsidRPr="00BF7992">
        <w:t>--------------------------------------------------------------------------------------------------------------------------------------------------------------------------------------------</w:t>
      </w:r>
    </w:p>
    <w:p w:rsidR="00343318" w:rsidRPr="00BF7992" w:rsidRDefault="00343318" w:rsidP="00343318">
      <w:pPr>
        <w:jc w:val="both"/>
        <w:rPr>
          <w:b/>
        </w:rPr>
      </w:pPr>
      <w:r w:rsidRPr="00BF7992">
        <w:t xml:space="preserve">   </w:t>
      </w:r>
      <w:r w:rsidRPr="00BF7992">
        <w:rPr>
          <w:b/>
        </w:rPr>
        <w:t>REPUBLIKA E KOSOVËS                                                                                                                             KOMUNA E   LIPJANIT</w:t>
      </w:r>
    </w:p>
    <w:p w:rsidR="00343318" w:rsidRPr="00BF7992" w:rsidRDefault="00343318" w:rsidP="00343318">
      <w:pPr>
        <w:tabs>
          <w:tab w:val="right" w:pos="8640"/>
        </w:tabs>
        <w:jc w:val="both"/>
        <w:rPr>
          <w:b/>
        </w:rPr>
      </w:pPr>
      <w:r w:rsidRPr="00BF7992">
        <w:rPr>
          <w:b/>
        </w:rPr>
        <w:t xml:space="preserve">   REPUBLIKA KOSOVA                                                                                                                                                 OPSTINA LIPJAN</w:t>
      </w:r>
      <w:r w:rsidRPr="00BF7992">
        <w:rPr>
          <w:b/>
        </w:rPr>
        <w:tab/>
      </w:r>
    </w:p>
    <w:p w:rsidR="00343318" w:rsidRPr="00BF7992" w:rsidRDefault="00343318" w:rsidP="00343318">
      <w:pPr>
        <w:jc w:val="both"/>
        <w:rPr>
          <w:b/>
        </w:rPr>
      </w:pPr>
      <w:r w:rsidRPr="00BF7992">
        <w:rPr>
          <w:b/>
        </w:rPr>
        <w:t xml:space="preserve">   REPUBLIKA OF KOSOVO                                                                                                                           LIPJAN MUNICIPALITY</w:t>
      </w:r>
    </w:p>
    <w:p w:rsidR="00343318" w:rsidRPr="00BF7992" w:rsidRDefault="00343318" w:rsidP="00343318">
      <w:pPr>
        <w:pStyle w:val="Heading1"/>
        <w:jc w:val="both"/>
      </w:pPr>
      <w:r w:rsidRPr="00BF7992">
        <w:t xml:space="preserve">            </w:t>
      </w:r>
    </w:p>
    <w:p w:rsidR="00343318" w:rsidRPr="00BF7992" w:rsidRDefault="00343318" w:rsidP="00343318">
      <w:pPr>
        <w:pStyle w:val="Heading1"/>
        <w:jc w:val="both"/>
      </w:pPr>
      <w:r w:rsidRPr="00BF7992">
        <w:t xml:space="preserve">                                            </w:t>
      </w:r>
    </w:p>
    <w:p w:rsidR="00343318" w:rsidRPr="00BF7992" w:rsidRDefault="00343318" w:rsidP="00343318">
      <w:pPr>
        <w:jc w:val="center"/>
        <w:rPr>
          <w:rFonts w:ascii="Book Antiqua" w:hAnsi="Book Antiqua"/>
          <w:sz w:val="24"/>
          <w:szCs w:val="24"/>
        </w:rPr>
      </w:pPr>
    </w:p>
    <w:p w:rsidR="00343318" w:rsidRPr="00BF7992" w:rsidRDefault="00343318" w:rsidP="00343318">
      <w:pPr>
        <w:rPr>
          <w:rFonts w:ascii="Book Antiqua" w:hAnsi="Book Antiqua"/>
          <w:b/>
          <w:sz w:val="24"/>
          <w:szCs w:val="24"/>
        </w:rPr>
      </w:pPr>
      <w:r w:rsidRPr="00BF7992">
        <w:rPr>
          <w:rFonts w:ascii="Book Antiqua" w:hAnsi="Book Antiqua"/>
          <w:b/>
          <w:sz w:val="24"/>
          <w:szCs w:val="24"/>
        </w:rPr>
        <w:t>Për :Zyrën Kombëtare të Auditimit</w:t>
      </w:r>
    </w:p>
    <w:p w:rsidR="00343318" w:rsidRPr="00BF7992" w:rsidRDefault="00343318" w:rsidP="00343318">
      <w:pPr>
        <w:rPr>
          <w:rFonts w:ascii="Book Antiqua" w:hAnsi="Book Antiqua"/>
          <w:b/>
          <w:sz w:val="24"/>
          <w:szCs w:val="24"/>
        </w:rPr>
      </w:pPr>
      <w:r w:rsidRPr="00BF7992">
        <w:rPr>
          <w:rFonts w:ascii="Book Antiqua" w:hAnsi="Book Antiqua"/>
          <w:b/>
          <w:sz w:val="24"/>
          <w:szCs w:val="24"/>
        </w:rPr>
        <w:t xml:space="preserve">Nga: z Imri Ahmeti , Kryetar i Komunës së Lipjanit </w:t>
      </w:r>
    </w:p>
    <w:p w:rsidR="00A90984" w:rsidRPr="00BF7992" w:rsidRDefault="00A90984"/>
    <w:tbl>
      <w:tblPr>
        <w:tblStyle w:val="TableGrid"/>
        <w:tblW w:w="0" w:type="auto"/>
        <w:tblInd w:w="3348" w:type="dxa"/>
        <w:tblLook w:val="04A0"/>
      </w:tblPr>
      <w:tblGrid>
        <w:gridCol w:w="7211"/>
      </w:tblGrid>
      <w:tr w:rsidR="00CF7C87" w:rsidRPr="00BF7992" w:rsidTr="0070641A">
        <w:trPr>
          <w:trHeight w:val="1826"/>
        </w:trPr>
        <w:tc>
          <w:tcPr>
            <w:tcW w:w="7211" w:type="dxa"/>
          </w:tcPr>
          <w:p w:rsidR="00CF7C87" w:rsidRPr="00BF7992" w:rsidRDefault="00CF7C87" w:rsidP="00CF7C87">
            <w:pPr>
              <w:jc w:val="center"/>
              <w:rPr>
                <w:rFonts w:ascii="Book Antiqua" w:hAnsi="Book Antiqua"/>
                <w:b/>
                <w:sz w:val="24"/>
                <w:szCs w:val="24"/>
              </w:rPr>
            </w:pPr>
          </w:p>
          <w:p w:rsidR="00CF7C87" w:rsidRPr="00BF7992" w:rsidRDefault="00CF7C87" w:rsidP="00CF7C87">
            <w:pPr>
              <w:jc w:val="center"/>
              <w:rPr>
                <w:rFonts w:ascii="Book Antiqua" w:hAnsi="Book Antiqua"/>
                <w:b/>
                <w:sz w:val="24"/>
                <w:szCs w:val="24"/>
              </w:rPr>
            </w:pPr>
            <w:r w:rsidRPr="00BF7992">
              <w:rPr>
                <w:rFonts w:ascii="Book Antiqua" w:hAnsi="Book Antiqua"/>
                <w:b/>
                <w:sz w:val="24"/>
                <w:szCs w:val="24"/>
              </w:rPr>
              <w:t>PLANI I VEPRIMIT P</w:t>
            </w:r>
            <w:r w:rsidR="0050456B" w:rsidRPr="00BF7992">
              <w:rPr>
                <w:rFonts w:ascii="Book Antiqua" w:hAnsi="Book Antiqua"/>
                <w:b/>
                <w:sz w:val="24"/>
                <w:szCs w:val="24"/>
              </w:rPr>
              <w:t>Ë</w:t>
            </w:r>
            <w:r w:rsidRPr="00BF7992">
              <w:rPr>
                <w:rFonts w:ascii="Book Antiqua" w:hAnsi="Book Antiqua"/>
                <w:b/>
                <w:sz w:val="24"/>
                <w:szCs w:val="24"/>
              </w:rPr>
              <w:t>R ZBATIMIN E REKOMANDIMEVE</w:t>
            </w:r>
            <w:r w:rsidR="0070641A">
              <w:rPr>
                <w:rFonts w:ascii="Book Antiqua" w:hAnsi="Book Antiqua"/>
                <w:b/>
                <w:sz w:val="24"/>
                <w:szCs w:val="24"/>
              </w:rPr>
              <w:t xml:space="preserve"> PËR VITIN 2020 </w:t>
            </w:r>
          </w:p>
          <w:p w:rsidR="00CF7C87" w:rsidRPr="00BF7992" w:rsidRDefault="00CF7C87" w:rsidP="00CF7C87">
            <w:pPr>
              <w:jc w:val="center"/>
              <w:rPr>
                <w:rFonts w:ascii="Book Antiqua" w:hAnsi="Book Antiqua"/>
                <w:b/>
                <w:sz w:val="24"/>
                <w:szCs w:val="24"/>
              </w:rPr>
            </w:pPr>
          </w:p>
          <w:p w:rsidR="00CF7C87" w:rsidRPr="00BF7992" w:rsidRDefault="00E3530B" w:rsidP="00184F2D">
            <w:pPr>
              <w:jc w:val="center"/>
              <w:rPr>
                <w:rFonts w:ascii="Book Antiqua" w:hAnsi="Book Antiqua"/>
                <w:b/>
                <w:sz w:val="24"/>
                <w:szCs w:val="24"/>
              </w:rPr>
            </w:pPr>
            <w:r w:rsidRPr="00BF7992">
              <w:rPr>
                <w:rFonts w:ascii="Book Antiqua" w:hAnsi="Book Antiqua"/>
                <w:b/>
                <w:sz w:val="24"/>
                <w:szCs w:val="24"/>
              </w:rPr>
              <w:t>t</w:t>
            </w:r>
            <w:r w:rsidR="0050456B" w:rsidRPr="00BF7992">
              <w:rPr>
                <w:rFonts w:ascii="Book Antiqua" w:hAnsi="Book Antiqua"/>
                <w:b/>
                <w:sz w:val="24"/>
                <w:szCs w:val="24"/>
              </w:rPr>
              <w:t>ë</w:t>
            </w:r>
            <w:r w:rsidR="00CF7C87" w:rsidRPr="00BF7992">
              <w:rPr>
                <w:rFonts w:ascii="Book Antiqua" w:hAnsi="Book Antiqua"/>
                <w:b/>
                <w:sz w:val="24"/>
                <w:szCs w:val="24"/>
              </w:rPr>
              <w:t xml:space="preserve"> dh</w:t>
            </w:r>
            <w:r w:rsidR="0050456B" w:rsidRPr="00BF7992">
              <w:rPr>
                <w:rFonts w:ascii="Book Antiqua" w:hAnsi="Book Antiqua"/>
                <w:b/>
                <w:sz w:val="24"/>
                <w:szCs w:val="24"/>
              </w:rPr>
              <w:t>ë</w:t>
            </w:r>
            <w:r w:rsidR="00CF7C87" w:rsidRPr="00BF7992">
              <w:rPr>
                <w:rFonts w:ascii="Book Antiqua" w:hAnsi="Book Antiqua"/>
                <w:b/>
                <w:sz w:val="24"/>
                <w:szCs w:val="24"/>
              </w:rPr>
              <w:t>na n</w:t>
            </w:r>
            <w:r w:rsidR="0050456B" w:rsidRPr="00BF7992">
              <w:rPr>
                <w:rFonts w:ascii="Book Antiqua" w:hAnsi="Book Antiqua"/>
                <w:b/>
                <w:sz w:val="24"/>
                <w:szCs w:val="24"/>
              </w:rPr>
              <w:t>ë</w:t>
            </w:r>
            <w:r w:rsidR="00CF7C87" w:rsidRPr="00BF7992">
              <w:rPr>
                <w:rFonts w:ascii="Book Antiqua" w:hAnsi="Book Antiqua"/>
                <w:b/>
                <w:sz w:val="24"/>
                <w:szCs w:val="24"/>
              </w:rPr>
              <w:t xml:space="preserve"> Raportin </w:t>
            </w:r>
            <w:r w:rsidR="00184F2D" w:rsidRPr="00BF7992">
              <w:rPr>
                <w:rFonts w:ascii="Book Antiqua" w:hAnsi="Book Antiqua"/>
                <w:b/>
                <w:sz w:val="24"/>
                <w:szCs w:val="24"/>
              </w:rPr>
              <w:t>e Auditimit</w:t>
            </w:r>
            <w:bookmarkStart w:id="0" w:name="_GoBack"/>
            <w:bookmarkEnd w:id="0"/>
            <w:r w:rsidR="00CF7C87" w:rsidRPr="00BF7992">
              <w:rPr>
                <w:rFonts w:ascii="Book Antiqua" w:hAnsi="Book Antiqua"/>
                <w:b/>
                <w:sz w:val="24"/>
                <w:szCs w:val="24"/>
              </w:rPr>
              <w:t xml:space="preserve"> nga Zyra Komb</w:t>
            </w:r>
            <w:r w:rsidR="0050456B" w:rsidRPr="00BF7992">
              <w:rPr>
                <w:rFonts w:ascii="Book Antiqua" w:hAnsi="Book Antiqua"/>
                <w:b/>
                <w:sz w:val="24"/>
                <w:szCs w:val="24"/>
              </w:rPr>
              <w:t>ë</w:t>
            </w:r>
            <w:r w:rsidR="00CF7C87" w:rsidRPr="00BF7992">
              <w:rPr>
                <w:rFonts w:ascii="Book Antiqua" w:hAnsi="Book Antiqua"/>
                <w:b/>
                <w:sz w:val="24"/>
                <w:szCs w:val="24"/>
              </w:rPr>
              <w:t>tare e Auditimit</w:t>
            </w:r>
          </w:p>
        </w:tc>
      </w:tr>
    </w:tbl>
    <w:p w:rsidR="00C835CC" w:rsidRPr="00BF7992" w:rsidRDefault="00C835CC">
      <w:pPr>
        <w:rPr>
          <w:b/>
        </w:rPr>
      </w:pPr>
    </w:p>
    <w:p w:rsidR="00C835CC" w:rsidRPr="00BF7992" w:rsidRDefault="00C835CC"/>
    <w:tbl>
      <w:tblPr>
        <w:tblStyle w:val="TableGrid"/>
        <w:tblW w:w="14940" w:type="dxa"/>
        <w:tblInd w:w="-972" w:type="dxa"/>
        <w:tblLayout w:type="fixed"/>
        <w:tblLook w:val="04A0"/>
      </w:tblPr>
      <w:tblGrid>
        <w:gridCol w:w="270"/>
        <w:gridCol w:w="630"/>
        <w:gridCol w:w="4230"/>
        <w:gridCol w:w="2970"/>
        <w:gridCol w:w="2790"/>
        <w:gridCol w:w="990"/>
        <w:gridCol w:w="1350"/>
        <w:gridCol w:w="1710"/>
      </w:tblGrid>
      <w:tr w:rsidR="00E3530B" w:rsidRPr="00BF7992" w:rsidTr="00366E12">
        <w:trPr>
          <w:cantSplit/>
          <w:trHeight w:val="1134"/>
        </w:trPr>
        <w:tc>
          <w:tcPr>
            <w:tcW w:w="270" w:type="dxa"/>
            <w:shd w:val="clear" w:color="auto" w:fill="B8CCE4" w:themeFill="accent1" w:themeFillTint="66"/>
            <w:textDirection w:val="btLr"/>
            <w:vAlign w:val="center"/>
          </w:tcPr>
          <w:p w:rsidR="00E3530B" w:rsidRPr="00BF7992" w:rsidRDefault="00E3530B" w:rsidP="00942BFF">
            <w:pPr>
              <w:ind w:left="113" w:right="113"/>
              <w:jc w:val="center"/>
              <w:rPr>
                <w:rFonts w:ascii="Book Antiqua" w:hAnsi="Book Antiqua"/>
                <w:b/>
                <w:sz w:val="24"/>
                <w:szCs w:val="20"/>
              </w:rPr>
            </w:pPr>
            <w:r w:rsidRPr="00BF7992">
              <w:rPr>
                <w:rFonts w:ascii="Book Antiqua" w:hAnsi="Book Antiqua"/>
                <w:b/>
                <w:sz w:val="24"/>
                <w:szCs w:val="20"/>
              </w:rPr>
              <w:lastRenderedPageBreak/>
              <w:t>Nr.</w:t>
            </w:r>
          </w:p>
          <w:p w:rsidR="00E3530B" w:rsidRPr="00BF7992" w:rsidRDefault="00E3530B" w:rsidP="00942BFF">
            <w:pPr>
              <w:ind w:left="113" w:right="113"/>
              <w:jc w:val="center"/>
              <w:rPr>
                <w:rFonts w:ascii="Book Antiqua" w:hAnsi="Book Antiqua"/>
                <w:b/>
                <w:sz w:val="24"/>
                <w:szCs w:val="20"/>
              </w:rPr>
            </w:pPr>
          </w:p>
          <w:p w:rsidR="00E3530B" w:rsidRPr="00BF7992" w:rsidRDefault="00E3530B" w:rsidP="00942BFF">
            <w:pPr>
              <w:ind w:left="113" w:right="113"/>
              <w:jc w:val="center"/>
              <w:rPr>
                <w:rFonts w:ascii="Book Antiqua" w:hAnsi="Book Antiqua"/>
                <w:b/>
                <w:sz w:val="24"/>
                <w:szCs w:val="20"/>
              </w:rPr>
            </w:pPr>
          </w:p>
          <w:p w:rsidR="00942BFF" w:rsidRPr="00BF7992" w:rsidRDefault="00942BFF" w:rsidP="00942BFF">
            <w:pPr>
              <w:jc w:val="center"/>
              <w:rPr>
                <w:rFonts w:ascii="Book Antiqua" w:hAnsi="Book Antiqua"/>
                <w:b/>
                <w:sz w:val="24"/>
                <w:szCs w:val="20"/>
              </w:rPr>
            </w:pPr>
            <w:r w:rsidRPr="00BF7992">
              <w:rPr>
                <w:rFonts w:ascii="Book Antiqua" w:hAnsi="Book Antiqua"/>
                <w:b/>
                <w:sz w:val="24"/>
                <w:szCs w:val="20"/>
              </w:rPr>
              <w:t>Nr.</w:t>
            </w:r>
          </w:p>
          <w:p w:rsidR="00E3530B" w:rsidRPr="00BF7992" w:rsidRDefault="00E3530B" w:rsidP="00942BFF">
            <w:pPr>
              <w:ind w:left="113" w:right="113"/>
              <w:jc w:val="center"/>
              <w:rPr>
                <w:rFonts w:ascii="Book Antiqua" w:hAnsi="Book Antiqua"/>
                <w:b/>
                <w:sz w:val="24"/>
                <w:szCs w:val="20"/>
              </w:rPr>
            </w:pPr>
          </w:p>
          <w:p w:rsidR="00E3530B" w:rsidRPr="00BF7992" w:rsidRDefault="00E3530B" w:rsidP="00942BFF">
            <w:pPr>
              <w:ind w:left="113" w:right="113"/>
              <w:jc w:val="center"/>
              <w:rPr>
                <w:rFonts w:ascii="Book Antiqua" w:hAnsi="Book Antiqua"/>
                <w:b/>
                <w:sz w:val="24"/>
                <w:szCs w:val="20"/>
              </w:rPr>
            </w:pPr>
          </w:p>
          <w:p w:rsidR="00E3530B" w:rsidRPr="00BF7992" w:rsidRDefault="00E3530B" w:rsidP="00942BFF">
            <w:pPr>
              <w:ind w:left="113" w:right="113"/>
              <w:jc w:val="center"/>
              <w:rPr>
                <w:rFonts w:ascii="Book Antiqua" w:hAnsi="Book Antiqua"/>
                <w:b/>
                <w:sz w:val="24"/>
                <w:szCs w:val="20"/>
              </w:rPr>
            </w:pPr>
          </w:p>
        </w:tc>
        <w:tc>
          <w:tcPr>
            <w:tcW w:w="630" w:type="dxa"/>
            <w:shd w:val="clear" w:color="auto" w:fill="B8CCE4" w:themeFill="accent1" w:themeFillTint="66"/>
            <w:textDirection w:val="btLr"/>
            <w:vAlign w:val="center"/>
          </w:tcPr>
          <w:p w:rsidR="00E3530B" w:rsidRPr="00BF7992" w:rsidRDefault="00E3530B" w:rsidP="00942BFF">
            <w:pPr>
              <w:ind w:left="113" w:right="113"/>
              <w:jc w:val="center"/>
              <w:rPr>
                <w:rFonts w:ascii="Book Antiqua" w:hAnsi="Book Antiqua"/>
                <w:b/>
                <w:sz w:val="24"/>
                <w:szCs w:val="20"/>
              </w:rPr>
            </w:pPr>
            <w:r w:rsidRPr="00BF7992">
              <w:rPr>
                <w:rFonts w:ascii="Book Antiqua" w:hAnsi="Book Antiqua"/>
                <w:b/>
                <w:sz w:val="20"/>
                <w:szCs w:val="20"/>
              </w:rPr>
              <w:t>Komponenta e auditimit(kapitulli)</w:t>
            </w:r>
          </w:p>
        </w:tc>
        <w:tc>
          <w:tcPr>
            <w:tcW w:w="4230" w:type="dxa"/>
            <w:shd w:val="clear" w:color="auto" w:fill="B8CCE4" w:themeFill="accent1" w:themeFillTint="66"/>
            <w:vAlign w:val="center"/>
          </w:tcPr>
          <w:p w:rsidR="00E3530B" w:rsidRPr="00BF7992" w:rsidRDefault="00E3530B" w:rsidP="00942BFF">
            <w:pPr>
              <w:jc w:val="center"/>
              <w:rPr>
                <w:rFonts w:ascii="Book Antiqua" w:hAnsi="Book Antiqua"/>
                <w:b/>
                <w:sz w:val="24"/>
                <w:szCs w:val="20"/>
              </w:rPr>
            </w:pPr>
            <w:r w:rsidRPr="00BF7992">
              <w:rPr>
                <w:rFonts w:ascii="Book Antiqua" w:hAnsi="Book Antiqua"/>
                <w:b/>
                <w:sz w:val="24"/>
                <w:szCs w:val="20"/>
              </w:rPr>
              <w:t>Gjetja</w:t>
            </w:r>
          </w:p>
        </w:tc>
        <w:tc>
          <w:tcPr>
            <w:tcW w:w="2970" w:type="dxa"/>
            <w:shd w:val="clear" w:color="auto" w:fill="B8CCE4" w:themeFill="accent1" w:themeFillTint="66"/>
            <w:vAlign w:val="center"/>
          </w:tcPr>
          <w:p w:rsidR="00E3530B" w:rsidRPr="00BF7992" w:rsidRDefault="00E3530B" w:rsidP="00942BFF">
            <w:pPr>
              <w:jc w:val="center"/>
              <w:rPr>
                <w:rFonts w:ascii="Book Antiqua" w:hAnsi="Book Antiqua"/>
                <w:b/>
                <w:sz w:val="24"/>
                <w:szCs w:val="20"/>
              </w:rPr>
            </w:pPr>
            <w:r w:rsidRPr="00BF7992">
              <w:rPr>
                <w:rFonts w:ascii="Book Antiqua" w:hAnsi="Book Antiqua"/>
                <w:b/>
                <w:sz w:val="24"/>
                <w:szCs w:val="20"/>
              </w:rPr>
              <w:t>Rekomandimi</w:t>
            </w:r>
          </w:p>
        </w:tc>
        <w:tc>
          <w:tcPr>
            <w:tcW w:w="2790" w:type="dxa"/>
            <w:shd w:val="clear" w:color="auto" w:fill="B8CCE4" w:themeFill="accent1" w:themeFillTint="66"/>
            <w:vAlign w:val="center"/>
          </w:tcPr>
          <w:p w:rsidR="00AE6668" w:rsidRPr="00BF7992" w:rsidRDefault="00E3530B" w:rsidP="00942BFF">
            <w:pPr>
              <w:jc w:val="center"/>
              <w:rPr>
                <w:rFonts w:ascii="Book Antiqua" w:hAnsi="Book Antiqua"/>
                <w:b/>
                <w:sz w:val="24"/>
                <w:szCs w:val="20"/>
              </w:rPr>
            </w:pPr>
            <w:r w:rsidRPr="00BF7992">
              <w:rPr>
                <w:rFonts w:ascii="Book Antiqua" w:hAnsi="Book Antiqua"/>
                <w:b/>
                <w:sz w:val="24"/>
                <w:szCs w:val="20"/>
              </w:rPr>
              <w:t>Veprimet e planifikuara për tu ndërmarrë</w:t>
            </w:r>
          </w:p>
        </w:tc>
        <w:tc>
          <w:tcPr>
            <w:tcW w:w="990" w:type="dxa"/>
            <w:shd w:val="clear" w:color="auto" w:fill="B8CCE4" w:themeFill="accent1" w:themeFillTint="66"/>
            <w:vAlign w:val="center"/>
          </w:tcPr>
          <w:p w:rsidR="00E3530B" w:rsidRPr="00BF7992" w:rsidRDefault="00E3530B" w:rsidP="00942BFF">
            <w:pPr>
              <w:jc w:val="center"/>
              <w:rPr>
                <w:rFonts w:ascii="Book Antiqua" w:hAnsi="Book Antiqua"/>
                <w:b/>
                <w:sz w:val="24"/>
                <w:szCs w:val="20"/>
              </w:rPr>
            </w:pPr>
            <w:r w:rsidRPr="00BF7992">
              <w:rPr>
                <w:rFonts w:ascii="Book Antiqua" w:hAnsi="Book Antiqua"/>
                <w:b/>
                <w:sz w:val="24"/>
                <w:szCs w:val="20"/>
              </w:rPr>
              <w:t>Zyrtari/ët përgjegjës</w:t>
            </w:r>
          </w:p>
          <w:p w:rsidR="00E55F90" w:rsidRPr="00BF7992" w:rsidRDefault="00E55F90" w:rsidP="00942BFF">
            <w:pPr>
              <w:jc w:val="center"/>
              <w:rPr>
                <w:rFonts w:ascii="Book Antiqua" w:hAnsi="Book Antiqua"/>
                <w:b/>
                <w:sz w:val="24"/>
                <w:szCs w:val="20"/>
              </w:rPr>
            </w:pPr>
          </w:p>
        </w:tc>
        <w:tc>
          <w:tcPr>
            <w:tcW w:w="1350" w:type="dxa"/>
            <w:shd w:val="clear" w:color="auto" w:fill="B8CCE4" w:themeFill="accent1" w:themeFillTint="66"/>
            <w:vAlign w:val="center"/>
          </w:tcPr>
          <w:p w:rsidR="00E3530B" w:rsidRPr="00BF7992" w:rsidRDefault="00E3530B" w:rsidP="00942BFF">
            <w:pPr>
              <w:jc w:val="center"/>
              <w:rPr>
                <w:rFonts w:ascii="Book Antiqua" w:hAnsi="Book Antiqua"/>
                <w:b/>
                <w:sz w:val="24"/>
                <w:szCs w:val="20"/>
              </w:rPr>
            </w:pPr>
            <w:r w:rsidRPr="00BF7992">
              <w:rPr>
                <w:rFonts w:ascii="Book Antiqua" w:hAnsi="Book Antiqua"/>
                <w:b/>
                <w:sz w:val="24"/>
                <w:szCs w:val="20"/>
              </w:rPr>
              <w:t>Data e planifikuar e zbatimit të rekomandimit</w:t>
            </w:r>
          </w:p>
        </w:tc>
        <w:tc>
          <w:tcPr>
            <w:tcW w:w="1710" w:type="dxa"/>
            <w:shd w:val="clear" w:color="auto" w:fill="B8CCE4" w:themeFill="accent1" w:themeFillTint="66"/>
            <w:vAlign w:val="center"/>
          </w:tcPr>
          <w:p w:rsidR="00E3530B" w:rsidRPr="00BF7992" w:rsidRDefault="00E3530B" w:rsidP="00942BFF">
            <w:pPr>
              <w:jc w:val="center"/>
              <w:rPr>
                <w:rFonts w:ascii="Book Antiqua" w:hAnsi="Book Antiqua"/>
                <w:b/>
                <w:sz w:val="24"/>
                <w:szCs w:val="20"/>
              </w:rPr>
            </w:pPr>
            <w:r w:rsidRPr="00BF7992">
              <w:rPr>
                <w:rFonts w:ascii="Book Antiqua" w:hAnsi="Book Antiqua"/>
                <w:b/>
                <w:sz w:val="24"/>
                <w:szCs w:val="20"/>
              </w:rPr>
              <w:t>Komente</w:t>
            </w:r>
          </w:p>
        </w:tc>
      </w:tr>
      <w:tr w:rsidR="0087347C" w:rsidRPr="00BF7992" w:rsidTr="0087347C">
        <w:tc>
          <w:tcPr>
            <w:tcW w:w="270" w:type="dxa"/>
            <w:vAlign w:val="center"/>
          </w:tcPr>
          <w:p w:rsidR="0087347C" w:rsidRPr="00BF7992" w:rsidRDefault="0087347C" w:rsidP="0087347C">
            <w:pPr>
              <w:jc w:val="center"/>
              <w:rPr>
                <w:rFonts w:ascii="Book Antiqua" w:hAnsi="Book Antiqua"/>
              </w:rPr>
            </w:pPr>
            <w:r>
              <w:rPr>
                <w:rFonts w:ascii="Book Antiqua" w:hAnsi="Book Antiqua"/>
              </w:rPr>
              <w:t>1</w:t>
            </w:r>
          </w:p>
        </w:tc>
        <w:tc>
          <w:tcPr>
            <w:tcW w:w="630" w:type="dxa"/>
            <w:vAlign w:val="center"/>
          </w:tcPr>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Pr="00BF7992" w:rsidRDefault="0087347C" w:rsidP="0087347C">
            <w:pPr>
              <w:jc w:val="center"/>
              <w:rPr>
                <w:rFonts w:ascii="Book Antiqua" w:hAnsi="Book Antiqua"/>
              </w:rPr>
            </w:pPr>
            <w:r>
              <w:rPr>
                <w:rFonts w:ascii="Book Antiqua" w:hAnsi="Book Antiqua"/>
              </w:rPr>
              <w:t>A</w:t>
            </w:r>
            <w:r w:rsidRPr="00BF7992">
              <w:rPr>
                <w:rFonts w:ascii="Book Antiqua" w:hAnsi="Book Antiqua"/>
              </w:rPr>
              <w:t>1</w:t>
            </w:r>
          </w:p>
        </w:tc>
        <w:tc>
          <w:tcPr>
            <w:tcW w:w="4230" w:type="dxa"/>
            <w:vAlign w:val="bottom"/>
          </w:tcPr>
          <w:p w:rsidR="0087347C" w:rsidRPr="00BF7992" w:rsidRDefault="0087347C" w:rsidP="00ED4789">
            <w:pPr>
              <w:rPr>
                <w:rFonts w:ascii="Calibri" w:eastAsia="Times New Roman" w:hAnsi="Calibri" w:cs="Times New Roman"/>
                <w:color w:val="000000"/>
                <w:sz w:val="24"/>
                <w:szCs w:val="24"/>
              </w:rPr>
            </w:pPr>
            <w:r w:rsidRPr="00BF7992">
              <w:rPr>
                <w:rFonts w:ascii="Calibri" w:eastAsia="Times New Roman" w:hAnsi="Calibri" w:cs="Times New Roman"/>
                <w:color w:val="000000"/>
                <w:sz w:val="24"/>
                <w:szCs w:val="24"/>
              </w:rPr>
              <w:t xml:space="preserve">Në bazë të vendimit të Qeverisë nr.01/23 të datës 13.08.2020 dhe procedurave tjera të udhëhequra nga Ministria e Pushtetit Lokal, komunat e Kosovës janë mbështetur me 10 milionë euro për menaxhimin e situatës së krijuar nga pandemia Covid-19. Komunës së Lipjanit nga kjo shumë i janë ndarë mjete në vlerë 216,809€, e te cilat janë kërkuar të alokohen në programin 18163 Infrastrukturë Publike. Dy nga mostrat e testuara nga kategoria e mallrave dhe shërbimeve, pagesa në vlerë 50,000€ si dhe pagesa prej 12,634€, janë të paguara nga kategoria e mjeteve që ishin të dedikuara për menaxhimin e situatës së krijuar nga pandemia Covid-19. Pagesa në vlerë 50,000€ e datës 11.12.2020, ka të bëjë me kontratën “Mirëmbajtja e infrastrukturës, rrugëve të asfaltuara dhe trotuareve në Komunën e Lipjanit, kurse pagesa në vlerë 12,634€ e datës 26.11.2020 ka të bëje me kontratën “Zhavorrimi i rrugëve </w:t>
            </w:r>
            <w:r w:rsidRPr="00BF7992">
              <w:rPr>
                <w:rFonts w:ascii="Calibri" w:eastAsia="Times New Roman" w:hAnsi="Calibri" w:cs="Times New Roman"/>
                <w:color w:val="000000"/>
                <w:sz w:val="24"/>
                <w:szCs w:val="24"/>
              </w:rPr>
              <w:lastRenderedPageBreak/>
              <w:t>të kategorisë së katërt në Komunën e Lipjanit”. Si rezultat i ekzekutimit të një numri të madh të vendimeve gjyqësore nga kategoria e mallrave dhe shërbimeve, komuna ka pasur mungesë të mjeteve buxhetore për pagesën e obligimeve tjera në bazë të kontratave te nënshkruara. Për këtë arsye komuna ka bërë pagesat e këtyre shpenzimeve nga fondet e alokuara për pandemi.</w:t>
            </w:r>
          </w:p>
          <w:p w:rsidR="0087347C" w:rsidRPr="00BF7992" w:rsidRDefault="0087347C" w:rsidP="00ED4789">
            <w:pPr>
              <w:rPr>
                <w:rFonts w:ascii="Calibri" w:eastAsia="Times New Roman" w:hAnsi="Calibri" w:cs="Times New Roman"/>
                <w:color w:val="000000"/>
                <w:sz w:val="24"/>
                <w:szCs w:val="24"/>
              </w:rPr>
            </w:pPr>
          </w:p>
        </w:tc>
        <w:tc>
          <w:tcPr>
            <w:tcW w:w="2970" w:type="dxa"/>
            <w:vAlign w:val="center"/>
          </w:tcPr>
          <w:p w:rsidR="0087347C" w:rsidRPr="00BF7992" w:rsidRDefault="0087347C" w:rsidP="00BF7992">
            <w:pPr>
              <w:jc w:val="center"/>
              <w:rPr>
                <w:rFonts w:ascii="Calibri" w:eastAsia="Times New Roman" w:hAnsi="Calibri" w:cs="Times New Roman"/>
                <w:b/>
                <w:bCs/>
                <w:color w:val="000000"/>
              </w:rPr>
            </w:pPr>
          </w:p>
          <w:p w:rsidR="0087347C" w:rsidRPr="00BF7992" w:rsidRDefault="0087347C" w:rsidP="00BF7992">
            <w:pPr>
              <w:jc w:val="center"/>
              <w:rPr>
                <w:rFonts w:ascii="Calibri" w:eastAsia="Times New Roman" w:hAnsi="Calibri" w:cs="Times New Roman"/>
                <w:b/>
                <w:bCs/>
                <w:color w:val="000000"/>
              </w:rPr>
            </w:pPr>
          </w:p>
          <w:p w:rsidR="0087347C" w:rsidRPr="00BF7992" w:rsidRDefault="0087347C" w:rsidP="00BF7992">
            <w:pPr>
              <w:jc w:val="center"/>
              <w:rPr>
                <w:rFonts w:ascii="Calibri" w:eastAsia="Times New Roman" w:hAnsi="Calibri" w:cs="Times New Roman"/>
                <w:b/>
                <w:bCs/>
                <w:color w:val="000000"/>
              </w:rPr>
            </w:pPr>
          </w:p>
          <w:p w:rsidR="0087347C" w:rsidRPr="00BF7992" w:rsidRDefault="0087347C" w:rsidP="00BF7992">
            <w:pPr>
              <w:jc w:val="center"/>
              <w:rPr>
                <w:rFonts w:ascii="Calibri" w:eastAsia="Times New Roman" w:hAnsi="Calibri" w:cs="Times New Roman"/>
                <w:color w:val="000000"/>
              </w:rPr>
            </w:pPr>
            <w:r w:rsidRPr="00BF7992">
              <w:rPr>
                <w:rFonts w:ascii="Calibri" w:eastAsia="Times New Roman" w:hAnsi="Calibri" w:cs="Times New Roman"/>
                <w:b/>
                <w:bCs/>
                <w:color w:val="000000"/>
              </w:rPr>
              <w:t xml:space="preserve">Rekomandimi : </w:t>
            </w:r>
            <w:r w:rsidRPr="00BF7992">
              <w:rPr>
                <w:rFonts w:ascii="Calibri" w:eastAsia="Times New Roman" w:hAnsi="Calibri" w:cs="Times New Roman"/>
                <w:color w:val="000000"/>
              </w:rPr>
              <w:t xml:space="preserve">          Kryetari duhet të sigurojë që janë ndërmarrë të gjitha veprimet e nevojshme që pagesat dhe shpenzimet e Komunës janë bërë konform qëllimit për të cilin janë alokuar dhe vendimeve të Qeverisë.</w:t>
            </w:r>
          </w:p>
        </w:tc>
        <w:tc>
          <w:tcPr>
            <w:tcW w:w="2790" w:type="dxa"/>
            <w:vAlign w:val="center"/>
          </w:tcPr>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 xml:space="preserve">Ne do të përpiqemi maksimalisht që ekzekutimi i pagesave të bëhet konform qëllimi të alokimit , sa i përket Vendimeve </w:t>
            </w:r>
            <w:r w:rsidRPr="00BF7992">
              <w:rPr>
                <w:rFonts w:ascii="Times New Roman" w:hAnsi="Times New Roman" w:cs="Times New Roman"/>
              </w:rPr>
              <w:br/>
              <w:t>gjyqësore , kjo po ndodhë pa ndikimin ton , pasi që Vendimet gjyqësore në përqindjen më të madhe lidhen me  implikimet e kontratës kolektive të cilën e ka nënshkruar niveli qendror , ndërsa nuk ka alokuar mjete të Komunat .</w:t>
            </w:r>
          </w:p>
        </w:tc>
        <w:tc>
          <w:tcPr>
            <w:tcW w:w="990" w:type="dxa"/>
            <w:vAlign w:val="center"/>
          </w:tcPr>
          <w:p w:rsidR="0087347C" w:rsidRDefault="0087347C" w:rsidP="00BF7992">
            <w:pPr>
              <w:jc w:val="center"/>
              <w:rPr>
                <w:rFonts w:ascii="Times New Roman" w:hAnsi="Times New Roman" w:cs="Times New Roman"/>
              </w:rPr>
            </w:pPr>
          </w:p>
          <w:p w:rsidR="0087347C" w:rsidRDefault="0087347C" w:rsidP="00BF7992">
            <w:pPr>
              <w:jc w:val="center"/>
              <w:rPr>
                <w:rFonts w:ascii="Times New Roman" w:hAnsi="Times New Roman" w:cs="Times New Roman"/>
              </w:rPr>
            </w:pPr>
          </w:p>
          <w:p w:rsidR="0087347C" w:rsidRDefault="0087347C" w:rsidP="00BF7992">
            <w:pPr>
              <w:jc w:val="center"/>
              <w:rPr>
                <w:rFonts w:ascii="Times New Roman" w:hAnsi="Times New Roman" w:cs="Times New Roman"/>
              </w:rPr>
            </w:pPr>
          </w:p>
          <w:p w:rsidR="0087347C" w:rsidRDefault="0087347C" w:rsidP="00BF7992">
            <w:pPr>
              <w:jc w:val="center"/>
              <w:rPr>
                <w:rFonts w:ascii="Times New Roman" w:hAnsi="Times New Roman" w:cs="Times New Roman"/>
              </w:rPr>
            </w:pPr>
          </w:p>
          <w:p w:rsidR="0087347C" w:rsidRDefault="0087347C" w:rsidP="00BF7992">
            <w:pPr>
              <w:jc w:val="center"/>
              <w:rPr>
                <w:rFonts w:ascii="Times New Roman" w:hAnsi="Times New Roman" w:cs="Times New Roman"/>
              </w:rPr>
            </w:pPr>
          </w:p>
          <w:p w:rsidR="0087347C" w:rsidRDefault="0087347C" w:rsidP="00BF7992">
            <w:pPr>
              <w:jc w:val="center"/>
              <w:rPr>
                <w:rFonts w:ascii="Times New Roman" w:hAnsi="Times New Roman" w:cs="Times New Roman"/>
              </w:rPr>
            </w:pPr>
          </w:p>
          <w:p w:rsidR="0087347C"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ZKF-Kryetari i Komunës</w:t>
            </w: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tc>
        <w:tc>
          <w:tcPr>
            <w:tcW w:w="1350" w:type="dxa"/>
            <w:vAlign w:val="center"/>
          </w:tcPr>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Në vazhdimësi</w:t>
            </w:r>
          </w:p>
        </w:tc>
        <w:tc>
          <w:tcPr>
            <w:tcW w:w="1710" w:type="dxa"/>
          </w:tcPr>
          <w:p w:rsidR="0087347C" w:rsidRPr="00BF7992" w:rsidRDefault="0087347C" w:rsidP="00366E12">
            <w:pPr>
              <w:rPr>
                <w:rFonts w:ascii="Book Antiqua" w:hAnsi="Book Antiqua"/>
                <w:sz w:val="20"/>
                <w:szCs w:val="20"/>
              </w:rPr>
            </w:pPr>
            <w:r w:rsidRPr="00BF7992">
              <w:rPr>
                <w:rFonts w:ascii="Book Antiqua" w:hAnsi="Book Antiqua"/>
                <w:sz w:val="20"/>
                <w:szCs w:val="20"/>
              </w:rPr>
              <w:t>Ekzekutimi i pagesave për vendime gjyqësore të cilat lidhen me obligimet që dalin nga kontrata kolektive , si dhe pamundësia e planifikimit të tyre me buxhetin komunal , po ndikon që objektivat e vitit të mbesin pa realizuar , kështu që ri</w:t>
            </w:r>
            <w:r>
              <w:rPr>
                <w:rFonts w:ascii="Book Antiqua" w:hAnsi="Book Antiqua"/>
                <w:sz w:val="20"/>
                <w:szCs w:val="20"/>
              </w:rPr>
              <w:t xml:space="preserve"> me </w:t>
            </w:r>
            <w:r w:rsidRPr="00BF7992">
              <w:rPr>
                <w:rFonts w:ascii="Book Antiqua" w:hAnsi="Book Antiqua"/>
                <w:sz w:val="20"/>
                <w:szCs w:val="20"/>
              </w:rPr>
              <w:t xml:space="preserve">destinim dhe rishikim të buxhetit si dhe ne vitin 2020 nga mjetet e mbetura te pa shfrytëzuara për pandeminë Kovid -19 janë përdorur për </w:t>
            </w:r>
            <w:r w:rsidRPr="00BF7992">
              <w:rPr>
                <w:rFonts w:ascii="Book Antiqua" w:hAnsi="Book Antiqua"/>
                <w:sz w:val="20"/>
                <w:szCs w:val="20"/>
              </w:rPr>
              <w:lastRenderedPageBreak/>
              <w:t>pagesa të qëllimeve tjera .</w:t>
            </w:r>
          </w:p>
        </w:tc>
      </w:tr>
      <w:tr w:rsidR="0087347C" w:rsidRPr="00BF7992" w:rsidTr="0087347C">
        <w:tc>
          <w:tcPr>
            <w:tcW w:w="270" w:type="dxa"/>
            <w:vAlign w:val="center"/>
          </w:tcPr>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Pr="00BF7992" w:rsidRDefault="0087347C" w:rsidP="0087347C">
            <w:pPr>
              <w:jc w:val="center"/>
              <w:rPr>
                <w:rFonts w:ascii="Book Antiqua" w:hAnsi="Book Antiqua"/>
              </w:rPr>
            </w:pPr>
            <w:r w:rsidRPr="00BF7992">
              <w:rPr>
                <w:rFonts w:ascii="Book Antiqua" w:hAnsi="Book Antiqua"/>
              </w:rPr>
              <w:t>2</w:t>
            </w:r>
          </w:p>
        </w:tc>
        <w:tc>
          <w:tcPr>
            <w:tcW w:w="630" w:type="dxa"/>
            <w:vAlign w:val="center"/>
          </w:tcPr>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r w:rsidRPr="00BF7992">
              <w:rPr>
                <w:rFonts w:ascii="Book Antiqua" w:hAnsi="Book Antiqua"/>
              </w:rPr>
              <w:t>C1</w:t>
            </w:r>
          </w:p>
        </w:tc>
        <w:tc>
          <w:tcPr>
            <w:tcW w:w="4230" w:type="dxa"/>
            <w:vAlign w:val="bottom"/>
          </w:tcPr>
          <w:p w:rsidR="0087347C" w:rsidRPr="00BF7992" w:rsidRDefault="0087347C" w:rsidP="00ED4789">
            <w:pPr>
              <w:rPr>
                <w:rFonts w:ascii="Calibri" w:eastAsia="Times New Roman" w:hAnsi="Calibri" w:cs="Times New Roman"/>
                <w:color w:val="000000"/>
                <w:sz w:val="24"/>
                <w:szCs w:val="24"/>
              </w:rPr>
            </w:pPr>
            <w:r w:rsidRPr="00BF7992">
              <w:rPr>
                <w:rFonts w:ascii="Calibri" w:eastAsia="Times New Roman" w:hAnsi="Calibri" w:cs="Times New Roman"/>
                <w:color w:val="000000"/>
                <w:sz w:val="24"/>
                <w:szCs w:val="24"/>
              </w:rPr>
              <w:t xml:space="preserve">Komuna e Lipjanit, në planifikimin final të prokurimit kishte përfshirë gjithsej 108 aktivitete të prokurimit për furnizime, punë dhe shërbime, të cilat janë prokuruar gjatë vitit fiskal 2020. Mirëpo raporti i kontratave të realizuara dëshmon se në vitin 2020 janë realizuar edhe 14 aktivitete të cilat nuk ishin përfshirë në planin final të prokurimit, prej tyre 8 aktivitete të prokurimit janë zhvilluar për Covid-19, kurse 6 të tjera lidhen me projekte kapitale, ku vlera e këtyre projekteve është 394,154€. Kjo tregon se në planin e prokurimit nuk janë përfshirë të gjitha nevojat për furnizime, punë dhe shërbime. Për më tepër, për aktivitetet e zhvilluara jashtë planit, nuk është dërguar në AQP një kopje e deklaratës përkatëse të nevojave dhe përcaktimit të disponueshmërisë së </w:t>
            </w:r>
            <w:r w:rsidRPr="00BF7992">
              <w:rPr>
                <w:rFonts w:ascii="Calibri" w:eastAsia="Times New Roman" w:hAnsi="Calibri" w:cs="Times New Roman"/>
                <w:color w:val="000000"/>
                <w:sz w:val="24"/>
                <w:szCs w:val="24"/>
              </w:rPr>
              <w:lastRenderedPageBreak/>
              <w:t>fondeve para inicimit të aktivitetit përkatës të prokurimit. Kjo ka ndodhur për shkak të mungesës së stafit (reduktimi i stafit) e krijuar nga situata pandemike me Covid-19.</w:t>
            </w:r>
          </w:p>
          <w:p w:rsidR="0087347C" w:rsidRPr="00BF7992" w:rsidRDefault="0087347C" w:rsidP="00ED4789">
            <w:pPr>
              <w:rPr>
                <w:rFonts w:ascii="Calibri" w:eastAsia="Times New Roman" w:hAnsi="Calibri" w:cs="Times New Roman"/>
                <w:color w:val="000000"/>
                <w:sz w:val="24"/>
                <w:szCs w:val="24"/>
              </w:rPr>
            </w:pPr>
          </w:p>
          <w:p w:rsidR="0087347C" w:rsidRPr="00BF7992" w:rsidRDefault="0087347C" w:rsidP="00ED4789">
            <w:pPr>
              <w:rPr>
                <w:rFonts w:ascii="Calibri" w:eastAsia="Times New Roman" w:hAnsi="Calibri" w:cs="Times New Roman"/>
                <w:color w:val="000000"/>
                <w:sz w:val="24"/>
                <w:szCs w:val="24"/>
              </w:rPr>
            </w:pPr>
          </w:p>
        </w:tc>
        <w:tc>
          <w:tcPr>
            <w:tcW w:w="2970" w:type="dxa"/>
            <w:vAlign w:val="center"/>
          </w:tcPr>
          <w:p w:rsidR="0087347C" w:rsidRPr="00BF7992" w:rsidRDefault="0087347C" w:rsidP="00BF7992">
            <w:pPr>
              <w:jc w:val="center"/>
              <w:rPr>
                <w:rFonts w:ascii="Calibri" w:eastAsia="Times New Roman" w:hAnsi="Calibri" w:cs="Times New Roman"/>
                <w:color w:val="000000"/>
              </w:rPr>
            </w:pPr>
            <w:r w:rsidRPr="00BF7992">
              <w:rPr>
                <w:rFonts w:ascii="Calibri" w:eastAsia="Times New Roman" w:hAnsi="Calibri" w:cs="Times New Roman"/>
                <w:b/>
                <w:bCs/>
                <w:color w:val="000000"/>
              </w:rPr>
              <w:lastRenderedPageBreak/>
              <w:t xml:space="preserve">Rekomandimi  </w:t>
            </w:r>
            <w:r w:rsidRPr="00BF7992">
              <w:rPr>
                <w:rFonts w:ascii="Calibri" w:eastAsia="Times New Roman" w:hAnsi="Calibri" w:cs="Times New Roman"/>
                <w:color w:val="000000"/>
              </w:rPr>
              <w:t>:                   Kryetari duhet të sigurojë se do të merr masat e nevojshme që planifikimi i aktiviteteve të prokurimit do të përfshijë kërkesat nga të gjitha njësitë në mënyrë që sa më pak aktivitete të realizohen jashtë planit të prokurimit. Nëse ndodh ndonjë aktivitet jashtë planit, paraprakisht duhet të njoftohet AQP konform kërkesave ligjore.</w:t>
            </w:r>
          </w:p>
        </w:tc>
        <w:tc>
          <w:tcPr>
            <w:tcW w:w="2790" w:type="dxa"/>
            <w:vAlign w:val="center"/>
          </w:tcPr>
          <w:p w:rsidR="0087347C" w:rsidRPr="00BF7992" w:rsidRDefault="0087347C" w:rsidP="00BF7992">
            <w:pPr>
              <w:jc w:val="center"/>
              <w:rPr>
                <w:rFonts w:ascii="Times New Roman" w:hAnsi="Times New Roman" w:cs="Times New Roman"/>
                <w:lang w:eastAsia="ja-JP"/>
              </w:rPr>
            </w:pPr>
          </w:p>
          <w:p w:rsidR="0087347C" w:rsidRPr="00BF7992" w:rsidRDefault="0087347C" w:rsidP="00BF7992">
            <w:pPr>
              <w:jc w:val="center"/>
              <w:rPr>
                <w:rFonts w:ascii="Times New Roman" w:hAnsi="Times New Roman" w:cs="Times New Roman"/>
                <w:lang w:eastAsia="ja-JP"/>
              </w:rPr>
            </w:pPr>
            <w:r w:rsidRPr="00BF7992">
              <w:rPr>
                <w:rFonts w:ascii="Times New Roman" w:hAnsi="Times New Roman" w:cs="Times New Roman"/>
                <w:lang w:eastAsia="ja-JP"/>
              </w:rPr>
              <w:t>Me rastin e inicimit të procedurave të prokurimit për aktivitetet e pa planifikuara të cilat rezultojnë  nga projektet e parapara me rishikim dhe ri destinim te buxhetit apo donacioneve të pranuara ne do të njoftojmë AQP-në për aktivitetin përkatës siç kërkohet me ligjin mbi prokurimin publik .</w:t>
            </w:r>
          </w:p>
        </w:tc>
        <w:tc>
          <w:tcPr>
            <w:tcW w:w="990" w:type="dxa"/>
            <w:vAlign w:val="center"/>
          </w:tcPr>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Drejtoria e Prokurimit –Bekim Arifi</w:t>
            </w:r>
          </w:p>
        </w:tc>
        <w:tc>
          <w:tcPr>
            <w:tcW w:w="1350" w:type="dxa"/>
            <w:vAlign w:val="center"/>
          </w:tcPr>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Gusht 2021</w:t>
            </w:r>
          </w:p>
        </w:tc>
        <w:tc>
          <w:tcPr>
            <w:tcW w:w="1710" w:type="dxa"/>
          </w:tcPr>
          <w:p w:rsidR="0087347C" w:rsidRPr="00BF7992" w:rsidRDefault="0087347C" w:rsidP="004B67B0">
            <w:pPr>
              <w:jc w:val="center"/>
              <w:rPr>
                <w:rFonts w:ascii="Book Antiqua" w:hAnsi="Book Antiqua"/>
                <w:sz w:val="20"/>
                <w:szCs w:val="20"/>
              </w:rPr>
            </w:pPr>
          </w:p>
        </w:tc>
      </w:tr>
      <w:tr w:rsidR="0087347C" w:rsidRPr="00BF7992" w:rsidTr="0087347C">
        <w:tc>
          <w:tcPr>
            <w:tcW w:w="270" w:type="dxa"/>
            <w:vAlign w:val="center"/>
          </w:tcPr>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Pr="00BF7992" w:rsidRDefault="0087347C" w:rsidP="0087347C">
            <w:pPr>
              <w:jc w:val="center"/>
              <w:rPr>
                <w:rFonts w:ascii="Book Antiqua" w:hAnsi="Book Antiqua"/>
              </w:rPr>
            </w:pPr>
            <w:r w:rsidRPr="00BF7992">
              <w:rPr>
                <w:rFonts w:ascii="Book Antiqua" w:hAnsi="Book Antiqua"/>
              </w:rPr>
              <w:t>3</w:t>
            </w:r>
          </w:p>
        </w:tc>
        <w:tc>
          <w:tcPr>
            <w:tcW w:w="630" w:type="dxa"/>
            <w:vAlign w:val="center"/>
          </w:tcPr>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r w:rsidRPr="00BF7992">
              <w:rPr>
                <w:rFonts w:ascii="Book Antiqua" w:hAnsi="Book Antiqua"/>
              </w:rPr>
              <w:t>A2</w:t>
            </w:r>
          </w:p>
        </w:tc>
        <w:tc>
          <w:tcPr>
            <w:tcW w:w="4230" w:type="dxa"/>
            <w:vAlign w:val="bottom"/>
          </w:tcPr>
          <w:p w:rsidR="0087347C" w:rsidRPr="00BF7992" w:rsidRDefault="0087347C" w:rsidP="00ED4789">
            <w:pPr>
              <w:rPr>
                <w:rFonts w:ascii="Calibri" w:eastAsia="Times New Roman" w:hAnsi="Calibri" w:cs="Times New Roman"/>
                <w:color w:val="000000"/>
                <w:sz w:val="24"/>
                <w:szCs w:val="24"/>
              </w:rPr>
            </w:pPr>
            <w:r w:rsidRPr="00BF7992">
              <w:rPr>
                <w:rFonts w:ascii="Calibri" w:eastAsia="Times New Roman" w:hAnsi="Calibri" w:cs="Times New Roman"/>
                <w:color w:val="000000"/>
                <w:sz w:val="24"/>
                <w:szCs w:val="24"/>
              </w:rPr>
              <w:t xml:space="preserve">Sipas kritereve të vendosura në dosjen e tenderit ne kushtet për pjesëmarrje, kapaciteti teknik dhe profesional ishte që “Operatori ekonomik duhet të ofroj dëshmi se ka përfunduar me sukses kontratat për furnizime të ngjashme në vlere prej 50,000€ në 3 (tri) vitet e shkuara, duke filluar nga data e publikimit të Njoftimit për Kontratë”, e i cili kriter duhej te plotësohet përmes dëshmisë “Një listë te kontratave të realizuara ku duhet saktësuar titullin e kontratës, shumën e kontratës, datën e përfundimit dhe përfituesin si dhe listës ti bashkëngjiten referencat ose procesverbalet për kryerje të furnizimeve”.                                                                        Në procedurën e prokurimit “Blerja e inventarit për SHFMU Haradin Bajrami -Magure, SHFMU Drita -Rubofc dhe QEAP Qerdhe”, në dosjen e Operatorit Ekonomik (OE) fitues, ekzistonin vetëm “lista e kontratave” dhe “lista e referencave” për furnizimet e ngjashme </w:t>
            </w:r>
            <w:r w:rsidRPr="00BF7992">
              <w:rPr>
                <w:rFonts w:ascii="Calibri" w:eastAsia="Times New Roman" w:hAnsi="Calibri" w:cs="Times New Roman"/>
                <w:color w:val="000000"/>
                <w:sz w:val="24"/>
                <w:szCs w:val="24"/>
              </w:rPr>
              <w:lastRenderedPageBreak/>
              <w:t>të realizuara, por këtyre listave nuk ju kanë bashkangjitur edhe referencat përkatëse ose procesverbalet e kryerjes se furnizimeve bazuar në kërkesën e dosjes se tenderit, dhe të cilat nuk janë kërkuar gjate vlerësimit. Vlera e kontratës së furnizimeve të dhëna është 32,384€.                                                                                    Sipas zyrtarëve komunal, kjo ka ndodhur për shkak të ngarkesave në zyrën e prokurimit si rezultat i stafit të reduktuar nga situata me pandemi Covid-19.</w:t>
            </w:r>
          </w:p>
          <w:p w:rsidR="0087347C" w:rsidRPr="00BF7992" w:rsidRDefault="0087347C" w:rsidP="00ED4789">
            <w:pPr>
              <w:rPr>
                <w:rFonts w:ascii="Calibri" w:eastAsia="Times New Roman" w:hAnsi="Calibri" w:cs="Times New Roman"/>
                <w:color w:val="000000"/>
                <w:sz w:val="24"/>
                <w:szCs w:val="24"/>
              </w:rPr>
            </w:pPr>
          </w:p>
        </w:tc>
        <w:tc>
          <w:tcPr>
            <w:tcW w:w="2970" w:type="dxa"/>
            <w:vAlign w:val="center"/>
          </w:tcPr>
          <w:p w:rsidR="0087347C" w:rsidRPr="00BF7992" w:rsidRDefault="0087347C" w:rsidP="00BF7992">
            <w:pPr>
              <w:jc w:val="center"/>
              <w:rPr>
                <w:rFonts w:ascii="Calibri" w:eastAsia="Times New Roman" w:hAnsi="Calibri" w:cs="Times New Roman"/>
                <w:color w:val="000000"/>
              </w:rPr>
            </w:pPr>
            <w:r w:rsidRPr="00BF7992">
              <w:rPr>
                <w:rFonts w:ascii="Calibri" w:eastAsia="Times New Roman" w:hAnsi="Calibri" w:cs="Times New Roman"/>
                <w:b/>
                <w:bCs/>
                <w:color w:val="000000"/>
              </w:rPr>
              <w:lastRenderedPageBreak/>
              <w:t>Rekomandimi :</w:t>
            </w:r>
            <w:r w:rsidRPr="00BF7992">
              <w:rPr>
                <w:rFonts w:ascii="Calibri" w:eastAsia="Times New Roman" w:hAnsi="Calibri" w:cs="Times New Roman"/>
                <w:color w:val="000000"/>
              </w:rPr>
              <w:t xml:space="preserve">                    Kryetari duhet të sigurojë që të respektohen kërkesat e paraqitura në njoftimin për kontratë/dosjen e tenderit nga komisionet e vlerësimit, në mënyrë që vetëm operatorët që kanë përmbushur të gjitha kushtet, të shpërblehen me kontratë.</w:t>
            </w:r>
          </w:p>
        </w:tc>
        <w:tc>
          <w:tcPr>
            <w:tcW w:w="2790" w:type="dxa"/>
            <w:vAlign w:val="center"/>
          </w:tcPr>
          <w:p w:rsidR="0087347C" w:rsidRPr="00BF7992" w:rsidRDefault="0087347C" w:rsidP="00BF7992">
            <w:pPr>
              <w:jc w:val="center"/>
              <w:rPr>
                <w:rFonts w:ascii="Times New Roman" w:hAnsi="Times New Roman" w:cs="Times New Roman"/>
                <w:lang w:eastAsia="ja-JP"/>
              </w:rPr>
            </w:pPr>
          </w:p>
          <w:p w:rsidR="0087347C" w:rsidRPr="00BF7992" w:rsidRDefault="0087347C" w:rsidP="00BF7992">
            <w:pPr>
              <w:jc w:val="center"/>
              <w:rPr>
                <w:rFonts w:ascii="Times New Roman" w:hAnsi="Times New Roman" w:cs="Times New Roman"/>
                <w:lang w:eastAsia="ja-JP"/>
              </w:rPr>
            </w:pPr>
          </w:p>
          <w:p w:rsidR="0087347C" w:rsidRPr="00BF7992" w:rsidRDefault="0087347C" w:rsidP="00BF7992">
            <w:pPr>
              <w:jc w:val="center"/>
              <w:rPr>
                <w:rFonts w:ascii="Times New Roman" w:hAnsi="Times New Roman" w:cs="Times New Roman"/>
                <w:lang w:eastAsia="ja-JP"/>
              </w:rPr>
            </w:pPr>
            <w:r w:rsidRPr="00BF7992">
              <w:rPr>
                <w:rFonts w:ascii="Times New Roman" w:hAnsi="Times New Roman" w:cs="Times New Roman"/>
                <w:lang w:eastAsia="ja-JP"/>
              </w:rPr>
              <w:t>Me rastin e vlerësimit të tenderëve do të kërkojmë nga anëtarët e komisionit vlerësues që çdo OE i cili ka ofruar një listë të kontratave dhe referencave, para se të rekomandohet për tu shpërblyer me kontratë duhet që të kërkojnë nga OE sqarime shtesë me anë të letrës standarde .</w:t>
            </w:r>
          </w:p>
        </w:tc>
        <w:tc>
          <w:tcPr>
            <w:tcW w:w="990" w:type="dxa"/>
            <w:vAlign w:val="center"/>
          </w:tcPr>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Prokurimit –Bekim Arifi</w:t>
            </w:r>
          </w:p>
        </w:tc>
        <w:tc>
          <w:tcPr>
            <w:tcW w:w="1350" w:type="dxa"/>
            <w:vAlign w:val="center"/>
          </w:tcPr>
          <w:p w:rsidR="0087347C" w:rsidRPr="00BF7992" w:rsidRDefault="0087347C" w:rsidP="00BF7992">
            <w:pPr>
              <w:jc w:val="center"/>
              <w:rPr>
                <w:rFonts w:ascii="Times New Roman" w:hAnsi="Times New Roman" w:cs="Times New Roman"/>
                <w:highlight w:val="cyan"/>
              </w:rPr>
            </w:pPr>
          </w:p>
          <w:p w:rsidR="0087347C" w:rsidRPr="00BF7992" w:rsidRDefault="0087347C" w:rsidP="00BF7992">
            <w:pPr>
              <w:jc w:val="center"/>
              <w:rPr>
                <w:rFonts w:ascii="Times New Roman" w:hAnsi="Times New Roman" w:cs="Times New Roman"/>
                <w:highlight w:val="cyan"/>
              </w:rPr>
            </w:pPr>
          </w:p>
          <w:p w:rsidR="0087347C" w:rsidRPr="00BF7992" w:rsidRDefault="0087347C" w:rsidP="00BF7992">
            <w:pPr>
              <w:jc w:val="center"/>
              <w:rPr>
                <w:rFonts w:ascii="Times New Roman" w:hAnsi="Times New Roman" w:cs="Times New Roman"/>
                <w:highlight w:val="cyan"/>
              </w:rPr>
            </w:pPr>
          </w:p>
          <w:p w:rsidR="0087347C" w:rsidRPr="00BF7992" w:rsidRDefault="0087347C" w:rsidP="00BF7992">
            <w:pPr>
              <w:jc w:val="center"/>
              <w:rPr>
                <w:rFonts w:ascii="Times New Roman" w:hAnsi="Times New Roman" w:cs="Times New Roman"/>
                <w:highlight w:val="cyan"/>
              </w:rPr>
            </w:pPr>
          </w:p>
          <w:p w:rsidR="0087347C" w:rsidRPr="00BF7992" w:rsidRDefault="0087347C" w:rsidP="00BF7992">
            <w:pPr>
              <w:jc w:val="center"/>
              <w:rPr>
                <w:rFonts w:ascii="Times New Roman" w:hAnsi="Times New Roman" w:cs="Times New Roman"/>
                <w:highlight w:val="cyan"/>
              </w:rPr>
            </w:pPr>
            <w:r w:rsidRPr="00BF7992">
              <w:rPr>
                <w:rFonts w:ascii="Times New Roman" w:hAnsi="Times New Roman" w:cs="Times New Roman"/>
                <w:highlight w:val="cyan"/>
              </w:rPr>
              <w:t>Gusht 2021</w:t>
            </w:r>
          </w:p>
        </w:tc>
        <w:tc>
          <w:tcPr>
            <w:tcW w:w="1710" w:type="dxa"/>
          </w:tcPr>
          <w:p w:rsidR="0087347C" w:rsidRPr="00BF7992" w:rsidRDefault="0087347C">
            <w:pPr>
              <w:rPr>
                <w:rFonts w:ascii="Book Antiqua" w:hAnsi="Book Antiqua"/>
                <w:sz w:val="20"/>
                <w:szCs w:val="20"/>
              </w:rPr>
            </w:pPr>
          </w:p>
        </w:tc>
      </w:tr>
      <w:tr w:rsidR="0087347C" w:rsidRPr="00BF7992" w:rsidTr="0087347C">
        <w:tc>
          <w:tcPr>
            <w:tcW w:w="270" w:type="dxa"/>
            <w:vAlign w:val="center"/>
          </w:tcPr>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Pr="00BF7992" w:rsidRDefault="0087347C" w:rsidP="0087347C">
            <w:pPr>
              <w:jc w:val="center"/>
              <w:rPr>
                <w:rFonts w:ascii="Book Antiqua" w:hAnsi="Book Antiqua"/>
              </w:rPr>
            </w:pPr>
            <w:r w:rsidRPr="00BF7992">
              <w:rPr>
                <w:rFonts w:ascii="Book Antiqua" w:hAnsi="Book Antiqua"/>
              </w:rPr>
              <w:t>4</w:t>
            </w:r>
          </w:p>
          <w:p w:rsidR="0087347C" w:rsidRPr="00BF7992" w:rsidRDefault="0087347C" w:rsidP="0087347C">
            <w:pPr>
              <w:jc w:val="center"/>
              <w:rPr>
                <w:rFonts w:ascii="Book Antiqua" w:hAnsi="Book Antiqua"/>
              </w:rPr>
            </w:pPr>
          </w:p>
        </w:tc>
        <w:tc>
          <w:tcPr>
            <w:tcW w:w="630" w:type="dxa"/>
            <w:vAlign w:val="center"/>
          </w:tcPr>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r w:rsidRPr="00BF7992">
              <w:rPr>
                <w:rFonts w:ascii="Book Antiqua" w:hAnsi="Book Antiqua"/>
              </w:rPr>
              <w:t>A3</w:t>
            </w:r>
          </w:p>
        </w:tc>
        <w:tc>
          <w:tcPr>
            <w:tcW w:w="4230" w:type="dxa"/>
            <w:vAlign w:val="bottom"/>
          </w:tcPr>
          <w:p w:rsidR="0087347C" w:rsidRPr="00BF7992" w:rsidRDefault="0087347C" w:rsidP="00BF7992">
            <w:pPr>
              <w:rPr>
                <w:rFonts w:ascii="Calibri" w:eastAsia="Times New Roman" w:hAnsi="Calibri" w:cs="Times New Roman"/>
                <w:color w:val="000000"/>
                <w:sz w:val="24"/>
                <w:szCs w:val="24"/>
              </w:rPr>
            </w:pPr>
            <w:r w:rsidRPr="00BF7992">
              <w:rPr>
                <w:rFonts w:ascii="Calibri" w:eastAsia="Times New Roman" w:hAnsi="Calibri" w:cs="Times New Roman"/>
                <w:color w:val="000000"/>
                <w:sz w:val="24"/>
                <w:szCs w:val="24"/>
              </w:rPr>
              <w:t xml:space="preserve">Sipas Kontratës me përfituesin e subvencionit, neni 3.2 lidhur me obligimet e përfituesit , saktëson që Përfituesi duhet të raportoj tek Komuna e Lipjanit përkatësisht te Drejtorati për Kulturë, Rini dhe Sport duke sjellur dokumentacionin sipas projektit të paraqitur në formularët e aplikacionit si vijon: raport narrativ, raportin financiar për mjete e shpenzuara dhe kopjen e faturave.                                                          Përfituesi i subvencionit KF ’’Arbëria ‘’ Dobrajë e Madhe në vlerë prej (19,970€) dhe KF ’’Ulpiana‘’ në Lipjan 15,000€, kishin sjellur raportet brenda afatit ligjor, por kishte mungesë të dëshmive/faturave për shpenzimet e raportuara. Te përfituesi i parë, vlera </w:t>
            </w:r>
            <w:r w:rsidRPr="00BF7992">
              <w:rPr>
                <w:rFonts w:ascii="Calibri" w:eastAsia="Times New Roman" w:hAnsi="Calibri" w:cs="Times New Roman"/>
                <w:color w:val="000000"/>
                <w:sz w:val="24"/>
                <w:szCs w:val="24"/>
              </w:rPr>
              <w:lastRenderedPageBreak/>
              <w:t>prej 5,545€ nuk është e mbuluar me fatura, ndërsa te përfituesi i dytë, mungonin faturat për vlerën e paguar prej 6,834€.                                                                      Sqarimet nga komuna janë se zyrtari përgjegjës për monitorimin e zbatimit të kontratave të klubeve sportive përfituese të subvencioneve për vitin 2020, për arsye mjekësore , nuk ka qenë në nivelin e kryerjes së detyrës.</w:t>
            </w:r>
          </w:p>
        </w:tc>
        <w:tc>
          <w:tcPr>
            <w:tcW w:w="2970" w:type="dxa"/>
            <w:vAlign w:val="center"/>
          </w:tcPr>
          <w:p w:rsidR="0087347C" w:rsidRPr="00BF7992" w:rsidRDefault="0087347C" w:rsidP="00BF7992">
            <w:pPr>
              <w:jc w:val="center"/>
              <w:rPr>
                <w:rFonts w:ascii="Calibri" w:eastAsia="Times New Roman" w:hAnsi="Calibri" w:cs="Times New Roman"/>
                <w:color w:val="000000"/>
              </w:rPr>
            </w:pPr>
            <w:r w:rsidRPr="00BF7992">
              <w:rPr>
                <w:rFonts w:ascii="Calibri" w:eastAsia="Times New Roman" w:hAnsi="Calibri" w:cs="Times New Roman"/>
                <w:b/>
                <w:bCs/>
                <w:color w:val="000000"/>
              </w:rPr>
              <w:lastRenderedPageBreak/>
              <w:t xml:space="preserve">Rekomandimi A3:                                          </w:t>
            </w:r>
            <w:r w:rsidRPr="00BF7992">
              <w:rPr>
                <w:rFonts w:ascii="Calibri" w:eastAsia="Times New Roman" w:hAnsi="Calibri" w:cs="Times New Roman"/>
                <w:color w:val="000000"/>
              </w:rPr>
              <w:t>Kryetari duhet të sigurojë që zyrtari përgjegjës për monitorim dhe zbatim të projekteve të subvencionuara,zbaton të gjitha procedurat e kontrollit, dhe nëse përfituesit e subvencionuar në raportimin e tyre nuk arrijnë të arsyetojnë shpenzimet sipas kontratës, të zbatohen masat e përcaktuara me kontratë.</w:t>
            </w:r>
          </w:p>
        </w:tc>
        <w:tc>
          <w:tcPr>
            <w:tcW w:w="2790" w:type="dxa"/>
            <w:vAlign w:val="center"/>
          </w:tcPr>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Ne para së gjithash në bashkëpunim me Kryetarin do të caktojmë zyrtarin e ri për monitorimin e marrëveshjeve të nënshkruara me  OJQ-të si dhe do të kërkojmë raporte të rregullta lidhur me monitorimin e subvencioneve , gjithashtu  menaxheri mbikëqyrës do ti njoftoj me shkrim të gjithë përftuesit 15 ditë para se të skadojë afati për arsyetimin  subvencioneve</w:t>
            </w:r>
          </w:p>
        </w:tc>
        <w:tc>
          <w:tcPr>
            <w:tcW w:w="990" w:type="dxa"/>
            <w:vAlign w:val="center"/>
          </w:tcPr>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DRSK-Selman Jashanica</w:t>
            </w:r>
          </w:p>
        </w:tc>
        <w:tc>
          <w:tcPr>
            <w:tcW w:w="1350" w:type="dxa"/>
            <w:vAlign w:val="center"/>
          </w:tcPr>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Mars  2022</w:t>
            </w:r>
          </w:p>
        </w:tc>
        <w:tc>
          <w:tcPr>
            <w:tcW w:w="1710" w:type="dxa"/>
          </w:tcPr>
          <w:p w:rsidR="0087347C" w:rsidRPr="00BF7992" w:rsidRDefault="0087347C">
            <w:pPr>
              <w:rPr>
                <w:rFonts w:ascii="Book Antiqua" w:hAnsi="Book Antiqua"/>
                <w:sz w:val="20"/>
                <w:szCs w:val="20"/>
              </w:rPr>
            </w:pPr>
          </w:p>
        </w:tc>
      </w:tr>
      <w:tr w:rsidR="0087347C" w:rsidRPr="00BF7992" w:rsidTr="0087347C">
        <w:tc>
          <w:tcPr>
            <w:tcW w:w="270" w:type="dxa"/>
            <w:vAlign w:val="center"/>
          </w:tcPr>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r w:rsidRPr="00BF7992">
              <w:rPr>
                <w:rFonts w:ascii="Book Antiqua" w:hAnsi="Book Antiqua"/>
              </w:rPr>
              <w:t>5</w:t>
            </w:r>
          </w:p>
        </w:tc>
        <w:tc>
          <w:tcPr>
            <w:tcW w:w="630" w:type="dxa"/>
            <w:vAlign w:val="center"/>
          </w:tcPr>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r w:rsidRPr="00BF7992">
              <w:rPr>
                <w:rFonts w:ascii="Book Antiqua" w:hAnsi="Book Antiqua"/>
              </w:rPr>
              <w:t>B1</w:t>
            </w:r>
          </w:p>
        </w:tc>
        <w:tc>
          <w:tcPr>
            <w:tcW w:w="4230" w:type="dxa"/>
            <w:vAlign w:val="bottom"/>
          </w:tcPr>
          <w:p w:rsidR="0087347C" w:rsidRPr="00BF7992" w:rsidRDefault="0087347C" w:rsidP="00ED4789">
            <w:pPr>
              <w:rPr>
                <w:rFonts w:ascii="Calibri" w:eastAsia="Times New Roman" w:hAnsi="Calibri" w:cs="Times New Roman"/>
                <w:color w:val="000000"/>
                <w:sz w:val="24"/>
                <w:szCs w:val="24"/>
              </w:rPr>
            </w:pPr>
            <w:r w:rsidRPr="00BF7992">
              <w:rPr>
                <w:rFonts w:ascii="Calibri" w:eastAsia="Times New Roman" w:hAnsi="Calibri" w:cs="Times New Roman"/>
                <w:color w:val="000000"/>
                <w:sz w:val="24"/>
                <w:szCs w:val="24"/>
              </w:rPr>
              <w:t>Bazuar në Rregulloren e MF Nr.04/2017 –Mbi kriteret, standardet dhe</w:t>
            </w:r>
          </w:p>
          <w:p w:rsidR="0087347C" w:rsidRPr="00BF7992" w:rsidRDefault="0087347C" w:rsidP="00ED4789">
            <w:pPr>
              <w:rPr>
                <w:rFonts w:ascii="Calibri" w:eastAsia="Times New Roman" w:hAnsi="Calibri" w:cs="Times New Roman"/>
                <w:color w:val="000000"/>
                <w:sz w:val="24"/>
                <w:szCs w:val="24"/>
              </w:rPr>
            </w:pPr>
            <w:r w:rsidRPr="00BF7992">
              <w:rPr>
                <w:rFonts w:ascii="Calibri" w:eastAsia="Times New Roman" w:hAnsi="Calibri" w:cs="Times New Roman"/>
                <w:color w:val="000000"/>
                <w:sz w:val="24"/>
                <w:szCs w:val="24"/>
              </w:rPr>
              <w:t>procedurat e financimit publik të OJQ-ve, neni 8 paragrafi 5</w:t>
            </w:r>
          </w:p>
          <w:p w:rsidR="0087347C" w:rsidRPr="00BF7992" w:rsidRDefault="0087347C" w:rsidP="00ED4789">
            <w:pPr>
              <w:rPr>
                <w:rFonts w:ascii="Calibri" w:eastAsia="Times New Roman" w:hAnsi="Calibri" w:cs="Times New Roman"/>
                <w:color w:val="000000"/>
                <w:sz w:val="24"/>
                <w:szCs w:val="24"/>
              </w:rPr>
            </w:pPr>
            <w:r w:rsidRPr="00BF7992">
              <w:rPr>
                <w:rFonts w:ascii="Calibri" w:eastAsia="Times New Roman" w:hAnsi="Calibri" w:cs="Times New Roman"/>
                <w:color w:val="000000"/>
                <w:sz w:val="24"/>
                <w:szCs w:val="24"/>
              </w:rPr>
              <w:t>saktëson që Komisioni Vlerësues themelohet gjatë kohës sa thirrja publike është e hapur dhe emrat e anëtarëve të Komisionit Vlerësues bëhen publik brenda shtatë (7) ditëve pas themelimit të Komisionit.Për përfituesit e subvencionit që i përkasin thirrjes publike të OJQve, të datës 09.09.2020, afati për dorëzimin e propozimeve ishte 15 ditë pune dhe përfundonte me 28.09.2020 ndërsa vendimi për formimin e Komisionit Vlerësues mban datën 05.10.2020. Ka vonesë</w:t>
            </w:r>
          </w:p>
          <w:p w:rsidR="0087347C" w:rsidRPr="00BF7992" w:rsidRDefault="0087347C" w:rsidP="00ED4789">
            <w:pPr>
              <w:rPr>
                <w:rFonts w:ascii="Calibri" w:eastAsia="Times New Roman" w:hAnsi="Calibri" w:cs="Times New Roman"/>
                <w:color w:val="000000"/>
                <w:sz w:val="24"/>
                <w:szCs w:val="24"/>
              </w:rPr>
            </w:pPr>
            <w:r w:rsidRPr="00BF7992">
              <w:rPr>
                <w:rFonts w:ascii="Calibri" w:eastAsia="Times New Roman" w:hAnsi="Calibri" w:cs="Times New Roman"/>
                <w:color w:val="000000"/>
                <w:sz w:val="24"/>
                <w:szCs w:val="24"/>
              </w:rPr>
              <w:t xml:space="preserve">në themelimin e Komisionit Vlerësues dhe publikimit të emrave të anëtarëve pas themelimit të tij. .Po ashtu, formularët për vlerësim të cilësisë së </w:t>
            </w:r>
            <w:r w:rsidRPr="00BF7992">
              <w:rPr>
                <w:rFonts w:ascii="Calibri" w:eastAsia="Times New Roman" w:hAnsi="Calibri" w:cs="Times New Roman"/>
                <w:color w:val="000000"/>
                <w:sz w:val="24"/>
                <w:szCs w:val="24"/>
              </w:rPr>
              <w:lastRenderedPageBreak/>
              <w:t>aplikuesve të nënshkruara nga anëtarët e komisionit, nuk kishin datën e vlerësimit. Kjo ka ndodhur si pasojë e kontrolleve të  pamjaftueshme nga ana e Drejtoratit për Kulturë, Rini dhe Sport.</w:t>
            </w:r>
          </w:p>
          <w:p w:rsidR="0087347C" w:rsidRPr="00BF7992" w:rsidRDefault="0087347C" w:rsidP="00ED4789">
            <w:pPr>
              <w:rPr>
                <w:rFonts w:ascii="Calibri" w:eastAsia="Times New Roman" w:hAnsi="Calibri" w:cs="Times New Roman"/>
                <w:color w:val="000000"/>
                <w:sz w:val="24"/>
                <w:szCs w:val="24"/>
              </w:rPr>
            </w:pPr>
          </w:p>
        </w:tc>
        <w:tc>
          <w:tcPr>
            <w:tcW w:w="2970" w:type="dxa"/>
            <w:vAlign w:val="center"/>
          </w:tcPr>
          <w:p w:rsidR="0087347C" w:rsidRPr="00BF7992" w:rsidRDefault="0087347C" w:rsidP="00BF7992">
            <w:pPr>
              <w:jc w:val="center"/>
              <w:rPr>
                <w:rFonts w:ascii="Calibri" w:eastAsia="Times New Roman" w:hAnsi="Calibri" w:cs="Times New Roman"/>
                <w:color w:val="000000"/>
              </w:rPr>
            </w:pPr>
            <w:r w:rsidRPr="00BF7992">
              <w:rPr>
                <w:rFonts w:ascii="Calibri" w:eastAsia="Times New Roman" w:hAnsi="Calibri" w:cs="Times New Roman"/>
                <w:b/>
                <w:bCs/>
                <w:color w:val="000000"/>
              </w:rPr>
              <w:lastRenderedPageBreak/>
              <w:t xml:space="preserve">Rekomandimi :                          </w:t>
            </w:r>
            <w:r w:rsidRPr="00BF7992">
              <w:rPr>
                <w:rFonts w:ascii="Calibri" w:eastAsia="Times New Roman" w:hAnsi="Calibri" w:cs="Times New Roman"/>
                <w:color w:val="000000"/>
              </w:rPr>
              <w:t>Kryetari duhet të sigurojë se janë ndërmarrë hapa në përmbushjen e kërkesave ligjore për vitet në vijim, të zbatohen afatet në themelimin</w:t>
            </w:r>
          </w:p>
          <w:p w:rsidR="0087347C" w:rsidRPr="00BF7992" w:rsidRDefault="0087347C" w:rsidP="00BF7992">
            <w:pPr>
              <w:jc w:val="center"/>
              <w:rPr>
                <w:rFonts w:ascii="Calibri" w:eastAsia="Times New Roman" w:hAnsi="Calibri" w:cs="Times New Roman"/>
                <w:b/>
                <w:bCs/>
                <w:color w:val="000000"/>
              </w:rPr>
            </w:pPr>
            <w:r w:rsidRPr="00BF7992">
              <w:rPr>
                <w:rFonts w:ascii="Calibri" w:eastAsia="Times New Roman" w:hAnsi="Calibri" w:cs="Times New Roman"/>
                <w:color w:val="000000"/>
              </w:rPr>
              <w:t>e Komisionit Vlerësues, kompletimin e dëshmive në pajtim me Rregulloren e MF nr.04/2017 –Mbi kriteret, standardet dhe procedurat e financimit publik të OJQ-ve.</w:t>
            </w:r>
          </w:p>
        </w:tc>
        <w:tc>
          <w:tcPr>
            <w:tcW w:w="2790" w:type="dxa"/>
            <w:vAlign w:val="center"/>
          </w:tcPr>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Ne do të shqyrtojmë mundësin e pagesës së mëditjeve me qëllim të funksionalizimit të Komisioneve vlerësues për të vepruar në përputhje me kërkesat e Rregullores të MF Nr. 04/2017</w:t>
            </w:r>
          </w:p>
        </w:tc>
        <w:tc>
          <w:tcPr>
            <w:tcW w:w="990" w:type="dxa"/>
            <w:vAlign w:val="center"/>
          </w:tcPr>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DRSK- Zyra Kryetarit Selman Jashanica-Vlora Krasniqi</w:t>
            </w:r>
          </w:p>
        </w:tc>
        <w:tc>
          <w:tcPr>
            <w:tcW w:w="1350" w:type="dxa"/>
            <w:vAlign w:val="center"/>
          </w:tcPr>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Nga Muaji Tetor 2021</w:t>
            </w:r>
          </w:p>
        </w:tc>
        <w:tc>
          <w:tcPr>
            <w:tcW w:w="1710" w:type="dxa"/>
          </w:tcPr>
          <w:p w:rsidR="0087347C" w:rsidRPr="00BF7992" w:rsidRDefault="0087347C">
            <w:pPr>
              <w:rPr>
                <w:rFonts w:ascii="Book Antiqua" w:hAnsi="Book Antiqua"/>
                <w:sz w:val="20"/>
                <w:szCs w:val="20"/>
              </w:rPr>
            </w:pPr>
          </w:p>
        </w:tc>
      </w:tr>
      <w:tr w:rsidR="0087347C" w:rsidRPr="00BF7992" w:rsidTr="0087347C">
        <w:tc>
          <w:tcPr>
            <w:tcW w:w="270" w:type="dxa"/>
            <w:vAlign w:val="center"/>
          </w:tcPr>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Pr="00BF7992" w:rsidRDefault="0087347C" w:rsidP="0087347C">
            <w:pPr>
              <w:jc w:val="center"/>
              <w:rPr>
                <w:rFonts w:ascii="Book Antiqua" w:hAnsi="Book Antiqua"/>
              </w:rPr>
            </w:pPr>
            <w:r w:rsidRPr="00BF7992">
              <w:rPr>
                <w:rFonts w:ascii="Book Antiqua" w:hAnsi="Book Antiqua"/>
              </w:rPr>
              <w:t>6</w:t>
            </w:r>
          </w:p>
        </w:tc>
        <w:tc>
          <w:tcPr>
            <w:tcW w:w="630" w:type="dxa"/>
            <w:vAlign w:val="center"/>
          </w:tcPr>
          <w:p w:rsidR="0087347C" w:rsidRPr="00BF7992" w:rsidRDefault="0087347C" w:rsidP="0087347C">
            <w:pPr>
              <w:jc w:val="center"/>
              <w:rPr>
                <w:rFonts w:ascii="Calibri" w:eastAsia="Times New Roman" w:hAnsi="Calibri" w:cs="Times New Roman"/>
                <w:b/>
                <w:bCs/>
                <w:color w:val="000000"/>
                <w:sz w:val="24"/>
                <w:szCs w:val="24"/>
              </w:rPr>
            </w:pPr>
          </w:p>
          <w:p w:rsidR="0087347C" w:rsidRPr="00BF7992" w:rsidRDefault="0087347C" w:rsidP="0087347C">
            <w:pPr>
              <w:jc w:val="center"/>
              <w:rPr>
                <w:rFonts w:ascii="Calibri" w:eastAsia="Times New Roman" w:hAnsi="Calibri" w:cs="Times New Roman"/>
                <w:b/>
                <w:bCs/>
                <w:color w:val="000000"/>
                <w:sz w:val="24"/>
                <w:szCs w:val="24"/>
              </w:rPr>
            </w:pPr>
          </w:p>
          <w:p w:rsidR="0087347C" w:rsidRPr="00BF7992" w:rsidRDefault="0087347C" w:rsidP="0087347C">
            <w:pPr>
              <w:jc w:val="center"/>
              <w:rPr>
                <w:rFonts w:ascii="Calibri" w:eastAsia="Times New Roman" w:hAnsi="Calibri" w:cs="Times New Roman"/>
                <w:b/>
                <w:bCs/>
                <w:color w:val="000000"/>
                <w:sz w:val="24"/>
                <w:szCs w:val="24"/>
              </w:rPr>
            </w:pPr>
          </w:p>
          <w:p w:rsidR="0087347C" w:rsidRPr="00BF7992" w:rsidRDefault="0087347C" w:rsidP="0087347C">
            <w:pPr>
              <w:jc w:val="center"/>
              <w:rPr>
                <w:rFonts w:ascii="Calibri" w:eastAsia="Times New Roman" w:hAnsi="Calibri" w:cs="Times New Roman"/>
                <w:b/>
                <w:bCs/>
                <w:color w:val="000000"/>
                <w:sz w:val="24"/>
                <w:szCs w:val="24"/>
              </w:rPr>
            </w:pPr>
          </w:p>
          <w:p w:rsidR="0087347C" w:rsidRPr="00BF7992" w:rsidRDefault="0087347C" w:rsidP="0087347C">
            <w:pPr>
              <w:jc w:val="center"/>
              <w:rPr>
                <w:rFonts w:ascii="Calibri" w:eastAsia="Times New Roman" w:hAnsi="Calibri" w:cs="Times New Roman"/>
                <w:b/>
                <w:bCs/>
                <w:color w:val="000000"/>
                <w:sz w:val="24"/>
                <w:szCs w:val="24"/>
              </w:rPr>
            </w:pPr>
          </w:p>
          <w:p w:rsidR="0087347C" w:rsidRPr="00BF7992" w:rsidRDefault="0087347C" w:rsidP="0087347C">
            <w:pPr>
              <w:jc w:val="center"/>
              <w:rPr>
                <w:rFonts w:ascii="Calibri" w:eastAsia="Times New Roman" w:hAnsi="Calibri" w:cs="Times New Roman"/>
                <w:b/>
                <w:bCs/>
                <w:color w:val="000000"/>
                <w:sz w:val="24"/>
                <w:szCs w:val="24"/>
              </w:rPr>
            </w:pPr>
          </w:p>
          <w:p w:rsidR="0087347C" w:rsidRPr="00BF7992" w:rsidRDefault="0087347C" w:rsidP="0087347C">
            <w:pPr>
              <w:jc w:val="center"/>
              <w:rPr>
                <w:rFonts w:ascii="Calibri" w:eastAsia="Times New Roman" w:hAnsi="Calibri" w:cs="Times New Roman"/>
                <w:b/>
                <w:bCs/>
                <w:color w:val="000000"/>
                <w:sz w:val="24"/>
                <w:szCs w:val="24"/>
              </w:rPr>
            </w:pPr>
          </w:p>
          <w:p w:rsidR="0087347C" w:rsidRPr="00BF7992" w:rsidRDefault="0087347C" w:rsidP="0087347C">
            <w:pPr>
              <w:jc w:val="center"/>
              <w:rPr>
                <w:rFonts w:ascii="Calibri" w:eastAsia="Times New Roman" w:hAnsi="Calibri" w:cs="Times New Roman"/>
                <w:b/>
                <w:bCs/>
                <w:color w:val="000000"/>
                <w:sz w:val="24"/>
                <w:szCs w:val="24"/>
              </w:rPr>
            </w:pPr>
          </w:p>
          <w:p w:rsidR="0087347C" w:rsidRPr="00BF7992" w:rsidRDefault="0087347C" w:rsidP="0087347C">
            <w:pPr>
              <w:jc w:val="center"/>
              <w:rPr>
                <w:rFonts w:ascii="Calibri" w:eastAsia="Times New Roman" w:hAnsi="Calibri" w:cs="Times New Roman"/>
                <w:b/>
                <w:bCs/>
                <w:color w:val="000000"/>
                <w:sz w:val="24"/>
                <w:szCs w:val="24"/>
              </w:rPr>
            </w:pPr>
          </w:p>
          <w:p w:rsidR="0087347C" w:rsidRPr="00BF7992" w:rsidRDefault="0087347C" w:rsidP="0087347C">
            <w:pPr>
              <w:jc w:val="center"/>
              <w:rPr>
                <w:rFonts w:ascii="Calibri" w:eastAsia="Times New Roman" w:hAnsi="Calibri" w:cs="Times New Roman"/>
                <w:b/>
                <w:bCs/>
                <w:color w:val="000000"/>
                <w:sz w:val="24"/>
                <w:szCs w:val="24"/>
              </w:rPr>
            </w:pPr>
          </w:p>
          <w:p w:rsidR="0087347C" w:rsidRPr="00BF7992" w:rsidRDefault="0087347C" w:rsidP="0087347C">
            <w:pPr>
              <w:jc w:val="center"/>
              <w:rPr>
                <w:rFonts w:ascii="Book Antiqua" w:hAnsi="Book Antiqua"/>
              </w:rPr>
            </w:pPr>
            <w:r w:rsidRPr="00BF7992">
              <w:rPr>
                <w:rFonts w:ascii="Book Antiqua" w:hAnsi="Book Antiqua"/>
              </w:rPr>
              <w:t>B1</w:t>
            </w:r>
          </w:p>
        </w:tc>
        <w:tc>
          <w:tcPr>
            <w:tcW w:w="4230" w:type="dxa"/>
            <w:vAlign w:val="bottom"/>
          </w:tcPr>
          <w:p w:rsidR="0087347C" w:rsidRPr="00BF7992" w:rsidRDefault="0087347C" w:rsidP="00ED4789">
            <w:pPr>
              <w:rPr>
                <w:rFonts w:ascii="Calibri" w:eastAsia="Times New Roman" w:hAnsi="Calibri" w:cs="Times New Roman"/>
                <w:color w:val="000000"/>
                <w:sz w:val="24"/>
                <w:szCs w:val="24"/>
              </w:rPr>
            </w:pPr>
            <w:r w:rsidRPr="00BF7992">
              <w:rPr>
                <w:rFonts w:ascii="Calibri" w:eastAsia="Times New Roman" w:hAnsi="Calibri" w:cs="Times New Roman"/>
                <w:color w:val="000000"/>
                <w:sz w:val="24"/>
                <w:szCs w:val="24"/>
              </w:rPr>
              <w:t xml:space="preserve">Bazuar në Rregulloren MF. NR. 04/2017, neni 6 – Ofruesit e mbështetjes financiare përgatisin pjesën e planit vjetor të mbështetjes financiare për OJQ-të më së largu 30 ditë pas miratimit të buxhetit vjetor dhe i dërgojnë atë Zyrës përkatëse për qeverisje të mirë pranë ZKM dhe neni 26 - secili ofrues i mbështetjes financiare publike pasi të përgatis raportin vjetor, do t'i dërgojnë atë më së largu deri më 1 mars.                                           </w:t>
            </w:r>
          </w:p>
          <w:p w:rsidR="0087347C" w:rsidRPr="00BF7992" w:rsidRDefault="0087347C" w:rsidP="00ED4789">
            <w:pPr>
              <w:rPr>
                <w:rFonts w:ascii="Calibri" w:eastAsia="Times New Roman" w:hAnsi="Calibri" w:cs="Times New Roman"/>
                <w:color w:val="000000"/>
                <w:sz w:val="24"/>
                <w:szCs w:val="24"/>
              </w:rPr>
            </w:pPr>
            <w:r w:rsidRPr="00BF7992">
              <w:rPr>
                <w:rFonts w:ascii="Calibri" w:eastAsia="Times New Roman" w:hAnsi="Calibri" w:cs="Times New Roman"/>
                <w:color w:val="000000"/>
                <w:sz w:val="24"/>
                <w:szCs w:val="24"/>
              </w:rPr>
              <w:t xml:space="preserve"> Komuna e Lipjanit edhe pse me Buxhet të Kosovës ka parapa që gjatë vitit 2020 të ofrojë mbështetje financiare për projektet dhe programet e OJQ-ve, nuk e ka përmbushur kërkesën ligjore për të plotësuar formularin e Planit Vjetor të Mbështetjes Financiare si dhe Raportin Vjetor, për të dërguar në ZKM-ZQM.</w:t>
            </w:r>
            <w:r w:rsidRPr="00BF7992">
              <w:rPr>
                <w:rFonts w:ascii="Calibri" w:eastAsia="Times New Roman" w:hAnsi="Calibri" w:cs="Times New Roman"/>
                <w:color w:val="000000"/>
                <w:sz w:val="24"/>
                <w:szCs w:val="24"/>
              </w:rPr>
              <w:br/>
              <w:t>Kjo situatë ka ndodhur për shkak të neglizhencës nga ana e zyrtarit përgjegjës të komunës për të mbështetur kërkesat ligjore.</w:t>
            </w:r>
          </w:p>
          <w:p w:rsidR="0087347C" w:rsidRPr="00BF7992" w:rsidRDefault="0087347C" w:rsidP="00ED4789">
            <w:pPr>
              <w:rPr>
                <w:rFonts w:ascii="Calibri" w:eastAsia="Times New Roman" w:hAnsi="Calibri" w:cs="Times New Roman"/>
                <w:color w:val="000000"/>
                <w:sz w:val="24"/>
                <w:szCs w:val="24"/>
              </w:rPr>
            </w:pPr>
          </w:p>
        </w:tc>
        <w:tc>
          <w:tcPr>
            <w:tcW w:w="2970" w:type="dxa"/>
            <w:vAlign w:val="center"/>
          </w:tcPr>
          <w:p w:rsidR="0087347C" w:rsidRPr="00BF7992" w:rsidRDefault="0087347C" w:rsidP="00BF7992">
            <w:pPr>
              <w:jc w:val="center"/>
              <w:rPr>
                <w:rFonts w:ascii="Calibri" w:eastAsia="Times New Roman" w:hAnsi="Calibri" w:cs="Times New Roman"/>
                <w:color w:val="000000"/>
              </w:rPr>
            </w:pPr>
            <w:r w:rsidRPr="00BF7992">
              <w:rPr>
                <w:rFonts w:ascii="Calibri" w:eastAsia="Times New Roman" w:hAnsi="Calibri" w:cs="Times New Roman"/>
                <w:b/>
                <w:bCs/>
                <w:color w:val="000000"/>
              </w:rPr>
              <w:t>Rekomandimi :</w:t>
            </w:r>
            <w:r w:rsidRPr="00BF7992">
              <w:rPr>
                <w:rFonts w:ascii="Calibri" w:eastAsia="Times New Roman" w:hAnsi="Calibri" w:cs="Times New Roman"/>
                <w:color w:val="000000"/>
              </w:rPr>
              <w:t>Kryetari duhet të sigurojë se janë ndërmarr hapa në përmbushjen e kërkesave ligjore për vitet e ardhshme, të përgatitet Plani Vjetor për Mbështetjes Financiare 30 ditë pas miratimit të Buxhetit, Raporti Gjithëpërfshirës Vjetor i mbështetje financiare publike për OJQ,si dhe të dhënat që përfshihen në plan të korrespondojnë me Buxhetin e Miratuar.</w:t>
            </w:r>
          </w:p>
        </w:tc>
        <w:tc>
          <w:tcPr>
            <w:tcW w:w="2790" w:type="dxa"/>
            <w:vAlign w:val="center"/>
          </w:tcPr>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Pas aprovimit të buxhetit komunal në Muajin Shtator nga Asambleja Komunale  si dhe aprovimit të buxhetit nga Kuvendi i Kosovës ne do të përpilojmë një plan të detajuar për subvencionet e mbështetjes financiare të OIQ-ve , siç kërkohet me nenin 6 të rregullores së MF Nr. 04/2017</w:t>
            </w:r>
          </w:p>
        </w:tc>
        <w:tc>
          <w:tcPr>
            <w:tcW w:w="990" w:type="dxa"/>
            <w:vAlign w:val="center"/>
          </w:tcPr>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DRSK-Selman Jashanica</w:t>
            </w:r>
          </w:p>
        </w:tc>
        <w:tc>
          <w:tcPr>
            <w:tcW w:w="1350" w:type="dxa"/>
            <w:vAlign w:val="center"/>
          </w:tcPr>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Muaji    Nëntor 2021</w:t>
            </w:r>
          </w:p>
        </w:tc>
        <w:tc>
          <w:tcPr>
            <w:tcW w:w="1710" w:type="dxa"/>
          </w:tcPr>
          <w:p w:rsidR="0087347C" w:rsidRPr="00BF7992" w:rsidRDefault="0087347C">
            <w:pPr>
              <w:rPr>
                <w:rFonts w:ascii="Book Antiqua" w:hAnsi="Book Antiqua"/>
                <w:sz w:val="20"/>
                <w:szCs w:val="20"/>
              </w:rPr>
            </w:pPr>
          </w:p>
        </w:tc>
      </w:tr>
      <w:tr w:rsidR="0087347C" w:rsidRPr="00BF7992" w:rsidTr="0087347C">
        <w:trPr>
          <w:trHeight w:val="980"/>
        </w:trPr>
        <w:tc>
          <w:tcPr>
            <w:tcW w:w="270" w:type="dxa"/>
            <w:vAlign w:val="center"/>
          </w:tcPr>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Pr="00BF7992" w:rsidRDefault="0087347C" w:rsidP="0087347C">
            <w:pPr>
              <w:jc w:val="center"/>
              <w:rPr>
                <w:rFonts w:ascii="Book Antiqua" w:hAnsi="Book Antiqua"/>
              </w:rPr>
            </w:pPr>
            <w:r w:rsidRPr="00BF7992">
              <w:rPr>
                <w:rFonts w:ascii="Book Antiqua" w:hAnsi="Book Antiqua"/>
              </w:rPr>
              <w:t>7</w:t>
            </w:r>
          </w:p>
        </w:tc>
        <w:tc>
          <w:tcPr>
            <w:tcW w:w="630" w:type="dxa"/>
            <w:vAlign w:val="center"/>
          </w:tcPr>
          <w:p w:rsidR="0087347C" w:rsidRPr="00BF7992" w:rsidRDefault="0087347C" w:rsidP="0087347C">
            <w:pPr>
              <w:jc w:val="center"/>
              <w:rPr>
                <w:rFonts w:ascii="Calibri" w:eastAsia="Times New Roman" w:hAnsi="Calibri" w:cs="Times New Roman"/>
                <w:b/>
                <w:bCs/>
                <w:color w:val="000000"/>
                <w:sz w:val="24"/>
                <w:szCs w:val="24"/>
              </w:rPr>
            </w:pPr>
          </w:p>
          <w:p w:rsidR="0087347C" w:rsidRPr="00BF7992" w:rsidRDefault="0087347C" w:rsidP="0087347C">
            <w:pPr>
              <w:jc w:val="center"/>
              <w:rPr>
                <w:rFonts w:ascii="Calibri" w:eastAsia="Times New Roman" w:hAnsi="Calibri" w:cs="Times New Roman"/>
                <w:b/>
                <w:bCs/>
                <w:color w:val="000000"/>
                <w:sz w:val="24"/>
                <w:szCs w:val="24"/>
              </w:rPr>
            </w:pPr>
          </w:p>
          <w:p w:rsidR="0087347C" w:rsidRPr="00BF7992" w:rsidRDefault="0087347C" w:rsidP="0087347C">
            <w:pPr>
              <w:jc w:val="center"/>
              <w:rPr>
                <w:rFonts w:ascii="Calibri" w:eastAsia="Times New Roman" w:hAnsi="Calibri" w:cs="Times New Roman"/>
                <w:b/>
                <w:bCs/>
                <w:color w:val="000000"/>
                <w:sz w:val="24"/>
                <w:szCs w:val="24"/>
              </w:rPr>
            </w:pPr>
          </w:p>
          <w:p w:rsidR="0087347C" w:rsidRPr="00BF7992" w:rsidRDefault="0087347C" w:rsidP="0087347C">
            <w:pPr>
              <w:jc w:val="center"/>
              <w:rPr>
                <w:rFonts w:ascii="Calibri" w:eastAsia="Times New Roman" w:hAnsi="Calibri" w:cs="Times New Roman"/>
                <w:b/>
                <w:bCs/>
                <w:color w:val="000000"/>
                <w:sz w:val="24"/>
                <w:szCs w:val="24"/>
              </w:rPr>
            </w:pPr>
          </w:p>
          <w:p w:rsidR="0087347C" w:rsidRPr="00BF7992" w:rsidRDefault="0087347C" w:rsidP="0087347C">
            <w:pPr>
              <w:jc w:val="center"/>
              <w:rPr>
                <w:rFonts w:ascii="Calibri" w:eastAsia="Times New Roman" w:hAnsi="Calibri" w:cs="Times New Roman"/>
                <w:b/>
                <w:bCs/>
                <w:color w:val="000000"/>
                <w:sz w:val="24"/>
                <w:szCs w:val="24"/>
              </w:rPr>
            </w:pPr>
          </w:p>
          <w:p w:rsidR="0087347C" w:rsidRPr="00BF7992" w:rsidRDefault="0087347C" w:rsidP="0087347C">
            <w:pPr>
              <w:jc w:val="center"/>
              <w:rPr>
                <w:rFonts w:ascii="Calibri" w:eastAsia="Times New Roman" w:hAnsi="Calibri" w:cs="Times New Roman"/>
                <w:b/>
                <w:bCs/>
                <w:color w:val="000000"/>
                <w:sz w:val="24"/>
                <w:szCs w:val="24"/>
              </w:rPr>
            </w:pPr>
          </w:p>
          <w:p w:rsidR="0087347C" w:rsidRPr="00BF7992" w:rsidRDefault="0087347C" w:rsidP="0087347C">
            <w:pPr>
              <w:jc w:val="center"/>
              <w:rPr>
                <w:rFonts w:ascii="Calibri" w:eastAsia="Times New Roman" w:hAnsi="Calibri" w:cs="Times New Roman"/>
                <w:b/>
                <w:bCs/>
                <w:color w:val="000000"/>
                <w:sz w:val="24"/>
                <w:szCs w:val="24"/>
              </w:rPr>
            </w:pPr>
          </w:p>
          <w:p w:rsidR="0087347C" w:rsidRPr="00BF7992" w:rsidRDefault="0087347C" w:rsidP="0087347C">
            <w:pPr>
              <w:jc w:val="center"/>
              <w:rPr>
                <w:rFonts w:ascii="Calibri" w:eastAsia="Times New Roman" w:hAnsi="Calibri" w:cs="Times New Roman"/>
                <w:b/>
                <w:bCs/>
                <w:color w:val="000000"/>
                <w:sz w:val="24"/>
                <w:szCs w:val="24"/>
              </w:rPr>
            </w:pPr>
          </w:p>
          <w:p w:rsidR="0087347C" w:rsidRPr="00BF7992" w:rsidRDefault="0087347C" w:rsidP="0087347C">
            <w:pPr>
              <w:jc w:val="center"/>
              <w:rPr>
                <w:rFonts w:ascii="Calibri" w:eastAsia="Times New Roman" w:hAnsi="Calibri" w:cs="Times New Roman"/>
                <w:b/>
                <w:bCs/>
                <w:color w:val="000000"/>
                <w:sz w:val="24"/>
                <w:szCs w:val="24"/>
              </w:rPr>
            </w:pPr>
          </w:p>
          <w:p w:rsidR="0087347C" w:rsidRPr="00BF7992" w:rsidRDefault="0087347C" w:rsidP="0087347C">
            <w:pPr>
              <w:jc w:val="center"/>
              <w:rPr>
                <w:rFonts w:ascii="Book Antiqua" w:hAnsi="Book Antiqua"/>
              </w:rPr>
            </w:pPr>
            <w:r w:rsidRPr="00BF7992">
              <w:rPr>
                <w:rFonts w:ascii="Calibri" w:eastAsia="Times New Roman" w:hAnsi="Calibri" w:cs="Times New Roman"/>
                <w:b/>
                <w:bCs/>
                <w:color w:val="000000"/>
                <w:sz w:val="24"/>
                <w:szCs w:val="24"/>
              </w:rPr>
              <w:t>B2</w:t>
            </w:r>
          </w:p>
        </w:tc>
        <w:tc>
          <w:tcPr>
            <w:tcW w:w="4230" w:type="dxa"/>
            <w:vAlign w:val="bottom"/>
          </w:tcPr>
          <w:p w:rsidR="0087347C" w:rsidRPr="00BF7992" w:rsidRDefault="0087347C" w:rsidP="00366E12">
            <w:pPr>
              <w:rPr>
                <w:rFonts w:ascii="Calibri" w:eastAsia="Times New Roman" w:hAnsi="Calibri" w:cs="Times New Roman"/>
                <w:color w:val="000000"/>
                <w:sz w:val="24"/>
                <w:szCs w:val="24"/>
              </w:rPr>
            </w:pPr>
            <w:r w:rsidRPr="00BF7992">
              <w:rPr>
                <w:rFonts w:ascii="Calibri" w:eastAsia="Times New Roman" w:hAnsi="Calibri" w:cs="Times New Roman"/>
                <w:color w:val="000000"/>
                <w:sz w:val="24"/>
                <w:szCs w:val="24"/>
              </w:rPr>
              <w:t xml:space="preserve">Në kontratat e nënshkruara për projektet kapitale ishin përcaktuar afatet kohore për realizimin e punimeve. Ndërsa me rregullat dhe udhëzuesin operativ për prokurimin publik, pika 30.6 specifikohet se, siguria e ekzekutimit mbetet valide për një periudhë tridhjetë (30) ditë pas kompletimit të kontratës.                                                                                    Kontrata e nënshkruar me 28.12.2020 në vlerë 73,192€ për "Rregullimin e Infrastrukturës (rrethojave, parkingjeve në shkolla)", ishte parapa që të përfundoj për 70 ditë kalendarike. Mirëpo për shkak kushteve atmosferike me kërkesën e menaxherit të kontratës punimet kanë filluar 55 ditë me vonesë. Siguria e ekzekutimit kishte validitet deri në mars të 2021 dhe si e tillë nuk ishte vazhduar deri në maj kur ne kemi audituar këtë kontratë.                                                                                          Kontrata e nënshkruar në maj të vitit 2020 në vlerë prej 9,424€ për “Renovimin e banjove në shkollën "Shtjefen Gjeqovi në Janjevë” ishte parapa që të përfundoj për 20 ditë pune, mirëpo kishte vonesa në realizimin e punimeve për 23 ditë për shkak të gjendjes së krijuar me Covid-19.                                                                                                             Kjo ka ndodhur shkaku i kontrollit dhe monitorimit jo të mirë për kontratat e nënshkruara në fund vit për projekte të </w:t>
            </w:r>
            <w:r w:rsidRPr="00BF7992">
              <w:rPr>
                <w:rFonts w:ascii="Calibri" w:eastAsia="Times New Roman" w:hAnsi="Calibri" w:cs="Times New Roman"/>
                <w:color w:val="000000"/>
                <w:sz w:val="24"/>
                <w:szCs w:val="24"/>
              </w:rPr>
              <w:lastRenderedPageBreak/>
              <w:t>paplanifikuara.</w:t>
            </w:r>
          </w:p>
        </w:tc>
        <w:tc>
          <w:tcPr>
            <w:tcW w:w="2970" w:type="dxa"/>
            <w:vAlign w:val="center"/>
          </w:tcPr>
          <w:p w:rsidR="0087347C" w:rsidRPr="00BF7992" w:rsidRDefault="0087347C" w:rsidP="00BF7992">
            <w:pPr>
              <w:jc w:val="center"/>
              <w:rPr>
                <w:rFonts w:ascii="Calibri" w:eastAsia="Times New Roman" w:hAnsi="Calibri" w:cs="Times New Roman"/>
                <w:color w:val="000000"/>
              </w:rPr>
            </w:pPr>
            <w:r w:rsidRPr="00BF7992">
              <w:rPr>
                <w:rFonts w:ascii="Calibri" w:eastAsia="Times New Roman" w:hAnsi="Calibri" w:cs="Times New Roman"/>
                <w:b/>
                <w:bCs/>
                <w:color w:val="000000"/>
              </w:rPr>
              <w:lastRenderedPageBreak/>
              <w:t>Rekomandimi:</w:t>
            </w:r>
            <w:r w:rsidRPr="00BF7992">
              <w:rPr>
                <w:rFonts w:ascii="Calibri" w:eastAsia="Times New Roman" w:hAnsi="Calibri" w:cs="Times New Roman"/>
                <w:color w:val="000000"/>
              </w:rPr>
              <w:t xml:space="preserve">                                           Kryetari duhet të siguroj se plani dinamik për përfundimin e punëve është respektuar nga OE, si dhe siguria e ekzekutimit do të mbetet valide për një periudhë prej tridhjetë (30) ditë pas kompletimit të kontratës në mënyrë që t'i ikë rrezikut për shpenzimet shtesë në rast të vonesave në punë dhe dëmeve tjera.</w:t>
            </w:r>
          </w:p>
        </w:tc>
        <w:tc>
          <w:tcPr>
            <w:tcW w:w="2790" w:type="dxa"/>
            <w:vAlign w:val="center"/>
          </w:tcPr>
          <w:p w:rsidR="0087347C" w:rsidRPr="00BF7992" w:rsidRDefault="0087347C" w:rsidP="00BF7992">
            <w:pPr>
              <w:jc w:val="center"/>
              <w:rPr>
                <w:rFonts w:ascii="Times New Roman" w:hAnsi="Times New Roman" w:cs="Times New Roman"/>
                <w:lang w:eastAsia="ja-JP"/>
              </w:rPr>
            </w:pPr>
            <w:r w:rsidRPr="00BF7992">
              <w:rPr>
                <w:rFonts w:ascii="Times New Roman" w:hAnsi="Times New Roman" w:cs="Times New Roman"/>
                <w:lang w:eastAsia="ja-JP"/>
              </w:rPr>
              <w:t>Ne si drejtori e prokurimit në çdo rast kur pranojmë nga menaxherët e kontratave njoftim se ka pasur tejkalim të planit dinamik nga OE, për ditët e llogaritura për vonesat, me rastin e përgatitjes së Urdhër-blerjes ne do ti zbatojmë penalet ( ndëshkimet )</w:t>
            </w:r>
          </w:p>
          <w:p w:rsidR="0087347C" w:rsidRPr="00BF7992" w:rsidRDefault="0087347C" w:rsidP="00BF7992">
            <w:pPr>
              <w:jc w:val="center"/>
              <w:rPr>
                <w:rFonts w:ascii="Times New Roman" w:hAnsi="Times New Roman" w:cs="Times New Roman"/>
                <w:lang w:eastAsia="ja-JP"/>
              </w:rPr>
            </w:pPr>
          </w:p>
          <w:p w:rsidR="0087347C" w:rsidRPr="00BF7992" w:rsidRDefault="0087347C" w:rsidP="00BF7992">
            <w:pPr>
              <w:jc w:val="center"/>
              <w:rPr>
                <w:rFonts w:ascii="Times New Roman" w:hAnsi="Times New Roman" w:cs="Times New Roman"/>
                <w:lang w:eastAsia="ja-JP"/>
              </w:rPr>
            </w:pPr>
          </w:p>
          <w:p w:rsidR="0087347C" w:rsidRPr="00BF7992" w:rsidRDefault="0087347C" w:rsidP="00BF7992">
            <w:pPr>
              <w:jc w:val="center"/>
              <w:rPr>
                <w:rFonts w:ascii="Times New Roman" w:hAnsi="Times New Roman" w:cs="Times New Roman"/>
                <w:lang w:eastAsia="ja-JP"/>
              </w:rPr>
            </w:pPr>
          </w:p>
          <w:p w:rsidR="0087347C" w:rsidRPr="00BF7992" w:rsidRDefault="0087347C" w:rsidP="00BF7992">
            <w:pPr>
              <w:jc w:val="center"/>
              <w:rPr>
                <w:rFonts w:ascii="Times New Roman" w:hAnsi="Times New Roman" w:cs="Times New Roman"/>
                <w:lang w:eastAsia="ja-JP"/>
              </w:rPr>
            </w:pPr>
          </w:p>
          <w:p w:rsidR="0087347C" w:rsidRPr="00BF7992" w:rsidRDefault="0087347C" w:rsidP="00BF7992">
            <w:pPr>
              <w:jc w:val="center"/>
              <w:rPr>
                <w:rFonts w:ascii="Times New Roman" w:hAnsi="Times New Roman" w:cs="Times New Roman"/>
                <w:lang w:eastAsia="ja-JP"/>
              </w:rPr>
            </w:pPr>
          </w:p>
          <w:p w:rsidR="0087347C" w:rsidRPr="00BF7992" w:rsidRDefault="0087347C" w:rsidP="00BF7992">
            <w:pPr>
              <w:jc w:val="center"/>
              <w:rPr>
                <w:rFonts w:ascii="Times New Roman" w:hAnsi="Times New Roman" w:cs="Times New Roman"/>
                <w:lang w:eastAsia="ja-JP"/>
              </w:rPr>
            </w:pPr>
          </w:p>
          <w:p w:rsidR="0087347C" w:rsidRPr="00BF7992" w:rsidRDefault="0087347C" w:rsidP="00BF7992">
            <w:pPr>
              <w:jc w:val="center"/>
              <w:rPr>
                <w:rFonts w:ascii="Times New Roman" w:hAnsi="Times New Roman" w:cs="Times New Roman"/>
                <w:lang w:eastAsia="ja-JP"/>
              </w:rPr>
            </w:pPr>
            <w:r w:rsidRPr="00BF7992">
              <w:rPr>
                <w:rFonts w:ascii="Times New Roman" w:hAnsi="Times New Roman" w:cs="Times New Roman"/>
                <w:lang w:eastAsia="ja-JP"/>
              </w:rPr>
              <w:t>Drejtoria e shërbimeve Publike , do të kërkoj nga menaxherët e kontratave që në çdo rast kur vonesat në kryerjen e punimeve janë tejkaluar afatet kohore të parapara me kontratë dhe planin dinamik , që të zbatohen penalet .</w:t>
            </w:r>
          </w:p>
        </w:tc>
        <w:tc>
          <w:tcPr>
            <w:tcW w:w="990" w:type="dxa"/>
            <w:vAlign w:val="center"/>
          </w:tcPr>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Drejtoria e Prokurimit –Drejtoria e Shërbimeve Publike          B.A –XH.M</w:t>
            </w:r>
          </w:p>
        </w:tc>
        <w:tc>
          <w:tcPr>
            <w:tcW w:w="1350" w:type="dxa"/>
            <w:vAlign w:val="center"/>
          </w:tcPr>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Gusht 2021</w:t>
            </w: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Nga Muaji  Shtator 2021</w:t>
            </w:r>
          </w:p>
        </w:tc>
        <w:tc>
          <w:tcPr>
            <w:tcW w:w="1710" w:type="dxa"/>
          </w:tcPr>
          <w:p w:rsidR="0087347C" w:rsidRPr="00BF7992" w:rsidRDefault="0087347C">
            <w:pPr>
              <w:rPr>
                <w:rFonts w:ascii="Book Antiqua" w:hAnsi="Book Antiqua"/>
                <w:sz w:val="20"/>
                <w:szCs w:val="20"/>
              </w:rPr>
            </w:pPr>
          </w:p>
        </w:tc>
      </w:tr>
      <w:tr w:rsidR="0087347C" w:rsidRPr="00BF7992" w:rsidTr="0087347C">
        <w:tc>
          <w:tcPr>
            <w:tcW w:w="270" w:type="dxa"/>
            <w:vAlign w:val="center"/>
          </w:tcPr>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Default="0087347C" w:rsidP="0087347C">
            <w:pPr>
              <w:jc w:val="center"/>
              <w:rPr>
                <w:rFonts w:ascii="Book Antiqua" w:hAnsi="Book Antiqua"/>
              </w:rPr>
            </w:pPr>
          </w:p>
          <w:p w:rsidR="0087347C" w:rsidRPr="00BF7992" w:rsidRDefault="0087347C" w:rsidP="0087347C">
            <w:pPr>
              <w:jc w:val="center"/>
              <w:rPr>
                <w:rFonts w:ascii="Book Antiqua" w:hAnsi="Book Antiqua"/>
              </w:rPr>
            </w:pPr>
            <w:r w:rsidRPr="00BF7992">
              <w:rPr>
                <w:rFonts w:ascii="Book Antiqua" w:hAnsi="Book Antiqua"/>
              </w:rPr>
              <w:t>8</w:t>
            </w:r>
          </w:p>
        </w:tc>
        <w:tc>
          <w:tcPr>
            <w:tcW w:w="630" w:type="dxa"/>
            <w:vAlign w:val="center"/>
          </w:tcPr>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p>
          <w:p w:rsidR="0087347C" w:rsidRPr="00BF7992" w:rsidRDefault="0087347C" w:rsidP="0087347C">
            <w:pPr>
              <w:jc w:val="center"/>
              <w:rPr>
                <w:rFonts w:ascii="Book Antiqua" w:hAnsi="Book Antiqua"/>
              </w:rPr>
            </w:pPr>
            <w:r w:rsidRPr="00BF7992">
              <w:rPr>
                <w:rFonts w:ascii="Book Antiqua" w:hAnsi="Book Antiqua"/>
              </w:rPr>
              <w:t>C2</w:t>
            </w:r>
          </w:p>
        </w:tc>
        <w:tc>
          <w:tcPr>
            <w:tcW w:w="4230" w:type="dxa"/>
            <w:vAlign w:val="bottom"/>
          </w:tcPr>
          <w:p w:rsidR="0087347C" w:rsidRPr="00BF7992" w:rsidRDefault="0087347C" w:rsidP="00ED4789">
            <w:pPr>
              <w:rPr>
                <w:rFonts w:ascii="Calibri" w:eastAsia="Times New Roman" w:hAnsi="Calibri" w:cs="Times New Roman"/>
                <w:color w:val="000000"/>
                <w:sz w:val="24"/>
                <w:szCs w:val="24"/>
              </w:rPr>
            </w:pPr>
            <w:r w:rsidRPr="00BF7992">
              <w:rPr>
                <w:rFonts w:ascii="Calibri" w:eastAsia="Times New Roman" w:hAnsi="Calibri" w:cs="Times New Roman"/>
                <w:color w:val="000000"/>
                <w:sz w:val="24"/>
                <w:szCs w:val="24"/>
              </w:rPr>
              <w:t xml:space="preserve">Sipas “Ligjit nr. 06/L-005 neni 12 paragrafi 2, çdo komunë është përgjegjëse për administrimin e procesit të tatimit në pronë për pronat e paluajtshme që ndodhen brenda territorit të komunës. Po ashtu neni 3 i Rregullores komunale për taksa dhe tarifa e vitit 2008 ka definuar qarte çështjen e menaxhimit te taksave nga lejet e veprimtarive afariste. Llogaritë e arkëtueshme janë shuma të faturuara e të pa arkëtuara për shërbimet të cilat i ofron komuna për klientët e saj. Pjesa me e madhe e borxheve janë nga tatimi prone dhe lejet afariste.  Për kundër faktit se komuna ka marr masa lidhur me inkasimin e llogarive të arkëtueshme tek tatimi në pronë duke dërguar vërejtje dhe njoftimet përfundimtare tek tatimpaguesit, rritja e tyre vazhdon nga viti në vit. Kjo rritje ishte e ndikuar edhe nga borxhet e ndërmarrjeve shoqërore të privatizuara nga Agjencia Kosovare e Privatizimit në vlerë prej 671,950€. Vlen te ceket qe gjatë vitit 2020 është bëre bartja e pronave të komunës së Graqanicës në bazën e tatimit në pronë të kësaj komune, qe deri ne vitin 2019 </w:t>
            </w:r>
            <w:r w:rsidRPr="00BF7992">
              <w:rPr>
                <w:rFonts w:ascii="Calibri" w:eastAsia="Times New Roman" w:hAnsi="Calibri" w:cs="Times New Roman"/>
                <w:color w:val="000000"/>
                <w:sz w:val="24"/>
                <w:szCs w:val="24"/>
              </w:rPr>
              <w:lastRenderedPageBreak/>
              <w:t>figuronin në bazën e tatimit pronë të komunës së Lipjanit.Po ashtu, borxhet nga lejet afariste janë mjaft te larta dhe te përcjellura qe nga viti 2013 në vlerë 578,359€. Gjatë auditimit të 5 mostrave ne vlerë totale prej 176,700€ nga kjo kategori, kemi hasur në përgjithësi në mungesë dëshmive, siç janë: aktvendimet për ngarkesat nëpër vite për bizneset, dëshmitë e pagesave. Në një rast është bartë borxhi nga një entitet në tjetrin në mënyre të gabueshme. Si te tilla këto borxhe nuk pritet të arkëtohen, pasi që kanë kaluar mbi 7 vite nga pezullimi i taksave për lejen e operimit të bizneseve.</w:t>
            </w:r>
          </w:p>
        </w:tc>
        <w:tc>
          <w:tcPr>
            <w:tcW w:w="2970" w:type="dxa"/>
            <w:vAlign w:val="center"/>
          </w:tcPr>
          <w:p w:rsidR="0087347C" w:rsidRPr="00BF7992" w:rsidRDefault="0087347C" w:rsidP="00BF7992">
            <w:pPr>
              <w:jc w:val="center"/>
              <w:rPr>
                <w:rFonts w:ascii="Calibri" w:eastAsia="Times New Roman" w:hAnsi="Calibri" w:cs="Times New Roman"/>
                <w:color w:val="000000"/>
              </w:rPr>
            </w:pPr>
            <w:r w:rsidRPr="00BF7992">
              <w:rPr>
                <w:rFonts w:ascii="Calibri" w:eastAsia="Times New Roman" w:hAnsi="Calibri" w:cs="Times New Roman"/>
                <w:b/>
                <w:bCs/>
                <w:color w:val="000000"/>
              </w:rPr>
              <w:lastRenderedPageBreak/>
              <w:t xml:space="preserve">Rekomandimi :    </w:t>
            </w:r>
            <w:r w:rsidRPr="00BF7992">
              <w:rPr>
                <w:rFonts w:ascii="Calibri" w:eastAsia="Times New Roman" w:hAnsi="Calibri" w:cs="Times New Roman"/>
                <w:color w:val="000000"/>
              </w:rPr>
              <w:t xml:space="preserve">                                                Kryetari, duhet të sigurojë efikasitet më të lartë në arkëtimin e llogarive të arkëtueshme, duke intensifikuar bashkëpunimin me AKP-n lidhur me obligimet për NSH-të të cilat janë në menaxhimin e tyre, e po ashtu duhet te merren te gjitha masat ligjore për trajtimin e borxheve të vjetra nga lejet afariste</w:t>
            </w:r>
          </w:p>
        </w:tc>
        <w:tc>
          <w:tcPr>
            <w:tcW w:w="2790" w:type="dxa"/>
            <w:vAlign w:val="center"/>
          </w:tcPr>
          <w:p w:rsidR="0087347C" w:rsidRPr="00BF7992" w:rsidRDefault="0087347C" w:rsidP="00BF7992">
            <w:pPr>
              <w:jc w:val="center"/>
              <w:rPr>
                <w:rFonts w:ascii="Times New Roman" w:hAnsi="Times New Roman" w:cs="Times New Roman"/>
                <w:lang w:eastAsia="ja-JP"/>
              </w:rPr>
            </w:pPr>
            <w:r w:rsidRPr="00BF7992">
              <w:rPr>
                <w:rFonts w:ascii="Times New Roman" w:hAnsi="Times New Roman" w:cs="Times New Roman"/>
                <w:lang w:eastAsia="ja-JP"/>
              </w:rPr>
              <w:t>- Zyra e Tatimit t</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Pron</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me q</w:t>
            </w:r>
            <w:r w:rsidRPr="00BF7992">
              <w:rPr>
                <w:rFonts w:ascii="Palatino Linotype" w:hAnsi="Palatino Linotype" w:cs="Times New Roman"/>
                <w:lang w:eastAsia="ja-JP"/>
              </w:rPr>
              <w:t>ë</w:t>
            </w:r>
            <w:r w:rsidRPr="00BF7992">
              <w:rPr>
                <w:rFonts w:ascii="Times New Roman" w:hAnsi="Times New Roman" w:cs="Times New Roman"/>
                <w:lang w:eastAsia="ja-JP"/>
              </w:rPr>
              <w:t>llim t</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vjelje s</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obligimeve t</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tatimit t</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pa paguar nga tatimpaguesit, do ti ndërmarr</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disa aktivitete.</w:t>
            </w:r>
          </w:p>
          <w:p w:rsidR="0087347C" w:rsidRPr="00BF7992" w:rsidRDefault="0087347C" w:rsidP="00BF7992">
            <w:pPr>
              <w:pStyle w:val="ListParagraph"/>
              <w:ind w:left="0"/>
              <w:jc w:val="center"/>
              <w:rPr>
                <w:rFonts w:ascii="Times New Roman" w:hAnsi="Times New Roman" w:cs="Times New Roman"/>
                <w:lang w:eastAsia="ja-JP"/>
              </w:rPr>
            </w:pPr>
            <w:r w:rsidRPr="00BF7992">
              <w:rPr>
                <w:rFonts w:ascii="Times New Roman" w:hAnsi="Times New Roman" w:cs="Times New Roman"/>
                <w:lang w:eastAsia="ja-JP"/>
              </w:rPr>
              <w:t>-Do t</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përgatit</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regjistrin e t</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gjith</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tatimpaguesve t</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cil</w:t>
            </w:r>
            <w:r w:rsidRPr="00BF7992">
              <w:rPr>
                <w:rFonts w:ascii="Palatino Linotype" w:hAnsi="Palatino Linotype" w:cs="Times New Roman"/>
                <w:lang w:eastAsia="ja-JP"/>
              </w:rPr>
              <w:t>ë</w:t>
            </w:r>
            <w:r w:rsidRPr="00BF7992">
              <w:rPr>
                <w:rFonts w:ascii="Times New Roman" w:hAnsi="Times New Roman" w:cs="Times New Roman"/>
                <w:lang w:eastAsia="ja-JP"/>
              </w:rPr>
              <w:t>t janë n</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vones</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n</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tatimin e paguar.</w:t>
            </w:r>
          </w:p>
          <w:p w:rsidR="0087347C" w:rsidRPr="00BF7992" w:rsidRDefault="0087347C" w:rsidP="00BF7992">
            <w:pPr>
              <w:pStyle w:val="ListParagraph"/>
              <w:ind w:left="0"/>
              <w:jc w:val="center"/>
              <w:rPr>
                <w:rFonts w:ascii="Times New Roman" w:hAnsi="Times New Roman" w:cs="Times New Roman"/>
                <w:lang w:eastAsia="ja-JP"/>
              </w:rPr>
            </w:pPr>
            <w:r w:rsidRPr="00BF7992">
              <w:rPr>
                <w:rFonts w:ascii="Times New Roman" w:hAnsi="Times New Roman" w:cs="Times New Roman"/>
                <w:lang w:eastAsia="ja-JP"/>
              </w:rPr>
              <w:t>-Do t</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b</w:t>
            </w:r>
            <w:r w:rsidRPr="00BF7992">
              <w:rPr>
                <w:rFonts w:ascii="Palatino Linotype" w:hAnsi="Palatino Linotype" w:cs="Times New Roman"/>
                <w:lang w:eastAsia="ja-JP"/>
              </w:rPr>
              <w:t>ë</w:t>
            </w:r>
            <w:r w:rsidRPr="00BF7992">
              <w:rPr>
                <w:rFonts w:ascii="Times New Roman" w:hAnsi="Times New Roman" w:cs="Times New Roman"/>
                <w:lang w:eastAsia="ja-JP"/>
              </w:rPr>
              <w:t>j</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thirrje t`tatimpaguesit m</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q</w:t>
            </w:r>
            <w:r w:rsidRPr="00BF7992">
              <w:rPr>
                <w:rFonts w:ascii="Palatino Linotype" w:hAnsi="Palatino Linotype" w:cs="Times New Roman"/>
                <w:lang w:eastAsia="ja-JP"/>
              </w:rPr>
              <w:t>ë</w:t>
            </w:r>
            <w:r w:rsidRPr="00BF7992">
              <w:rPr>
                <w:rFonts w:ascii="Times New Roman" w:hAnsi="Times New Roman" w:cs="Times New Roman"/>
                <w:lang w:eastAsia="ja-JP"/>
              </w:rPr>
              <w:t>llim t</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pages</w:t>
            </w:r>
            <w:r w:rsidRPr="00BF7992">
              <w:rPr>
                <w:rFonts w:ascii="Palatino Linotype" w:hAnsi="Palatino Linotype" w:cs="Times New Roman"/>
                <w:lang w:eastAsia="ja-JP"/>
              </w:rPr>
              <w:t>ë</w:t>
            </w:r>
            <w:r w:rsidRPr="00BF7992">
              <w:rPr>
                <w:rFonts w:ascii="Times New Roman" w:hAnsi="Times New Roman" w:cs="Times New Roman"/>
                <w:lang w:eastAsia="ja-JP"/>
              </w:rPr>
              <w:t>s s</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tatimit n</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pron</w:t>
            </w:r>
            <w:r w:rsidRPr="00BF7992">
              <w:rPr>
                <w:rFonts w:ascii="Palatino Linotype" w:hAnsi="Palatino Linotype" w:cs="Times New Roman"/>
                <w:lang w:eastAsia="ja-JP"/>
              </w:rPr>
              <w:t>ë</w:t>
            </w:r>
            <w:r w:rsidRPr="00BF7992">
              <w:rPr>
                <w:rFonts w:ascii="Times New Roman" w:hAnsi="Times New Roman" w:cs="Times New Roman"/>
                <w:lang w:eastAsia="ja-JP"/>
              </w:rPr>
              <w:t>.</w:t>
            </w:r>
          </w:p>
          <w:p w:rsidR="0087347C" w:rsidRPr="00BF7992" w:rsidRDefault="0087347C" w:rsidP="00BF7992">
            <w:pPr>
              <w:pStyle w:val="ListParagraph"/>
              <w:ind w:left="0"/>
              <w:jc w:val="center"/>
              <w:rPr>
                <w:rFonts w:ascii="Times New Roman" w:hAnsi="Times New Roman" w:cs="Times New Roman"/>
                <w:lang w:eastAsia="ja-JP"/>
              </w:rPr>
            </w:pPr>
            <w:r w:rsidRPr="00BF7992">
              <w:rPr>
                <w:rFonts w:ascii="Times New Roman" w:hAnsi="Times New Roman" w:cs="Times New Roman"/>
                <w:lang w:eastAsia="ja-JP"/>
              </w:rPr>
              <w:t>-T</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gjith</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ata tatimpagues t</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cil</w:t>
            </w:r>
            <w:r w:rsidRPr="00BF7992">
              <w:rPr>
                <w:rFonts w:ascii="Palatino Linotype" w:hAnsi="Palatino Linotype" w:cs="Times New Roman"/>
                <w:lang w:eastAsia="ja-JP"/>
              </w:rPr>
              <w:t>ë</w:t>
            </w:r>
            <w:r w:rsidRPr="00BF7992">
              <w:rPr>
                <w:rFonts w:ascii="Times New Roman" w:hAnsi="Times New Roman" w:cs="Times New Roman"/>
                <w:lang w:eastAsia="ja-JP"/>
              </w:rPr>
              <w:t>t nuk p</w:t>
            </w:r>
            <w:r w:rsidRPr="00BF7992">
              <w:rPr>
                <w:rFonts w:ascii="Palatino Linotype" w:hAnsi="Palatino Linotype" w:cs="Times New Roman"/>
                <w:lang w:eastAsia="ja-JP"/>
              </w:rPr>
              <w:t>ë</w:t>
            </w:r>
            <w:r w:rsidRPr="00BF7992">
              <w:rPr>
                <w:rFonts w:ascii="Times New Roman" w:hAnsi="Times New Roman" w:cs="Times New Roman"/>
                <w:lang w:eastAsia="ja-JP"/>
              </w:rPr>
              <w:t>rgjigj</w:t>
            </w:r>
            <w:r w:rsidRPr="00BF7992">
              <w:rPr>
                <w:rFonts w:ascii="Palatino Linotype" w:hAnsi="Palatino Linotype" w:cs="Times New Roman"/>
                <w:lang w:eastAsia="ja-JP"/>
              </w:rPr>
              <w:t>ë</w:t>
            </w:r>
            <w:r w:rsidRPr="00BF7992">
              <w:rPr>
                <w:rFonts w:ascii="Times New Roman" w:hAnsi="Times New Roman" w:cs="Times New Roman"/>
                <w:lang w:eastAsia="ja-JP"/>
              </w:rPr>
              <w:t>n n</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pages</w:t>
            </w:r>
            <w:r w:rsidRPr="00BF7992">
              <w:rPr>
                <w:rFonts w:ascii="Palatino Linotype" w:hAnsi="Palatino Linotype" w:cs="Times New Roman"/>
                <w:lang w:eastAsia="ja-JP"/>
              </w:rPr>
              <w:t>ë</w:t>
            </w:r>
            <w:r w:rsidRPr="00BF7992">
              <w:rPr>
                <w:rFonts w:ascii="Times New Roman" w:hAnsi="Times New Roman" w:cs="Times New Roman"/>
                <w:lang w:eastAsia="ja-JP"/>
              </w:rPr>
              <w:t>n e tatimit n</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pron</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do t</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njoftojm</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me nj</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v</w:t>
            </w:r>
            <w:r w:rsidRPr="00BF7992">
              <w:rPr>
                <w:rFonts w:ascii="Palatino Linotype" w:hAnsi="Palatino Linotype" w:cs="Times New Roman"/>
                <w:lang w:eastAsia="ja-JP"/>
              </w:rPr>
              <w:t>ë</w:t>
            </w:r>
            <w:r w:rsidRPr="00BF7992">
              <w:rPr>
                <w:rFonts w:ascii="Times New Roman" w:hAnsi="Times New Roman" w:cs="Times New Roman"/>
                <w:lang w:eastAsia="ja-JP"/>
              </w:rPr>
              <w:t>rejtje p</w:t>
            </w:r>
            <w:r w:rsidRPr="00BF7992">
              <w:rPr>
                <w:rFonts w:ascii="Palatino Linotype" w:hAnsi="Palatino Linotype" w:cs="Times New Roman"/>
                <w:lang w:eastAsia="ja-JP"/>
              </w:rPr>
              <w:t>ë</w:t>
            </w:r>
            <w:r w:rsidRPr="00BF7992">
              <w:rPr>
                <w:rFonts w:ascii="Times New Roman" w:hAnsi="Times New Roman" w:cs="Times New Roman"/>
                <w:lang w:eastAsia="ja-JP"/>
              </w:rPr>
              <w:t>r procedurat e m</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tejm</w:t>
            </w:r>
            <w:r w:rsidRPr="00BF7992">
              <w:rPr>
                <w:rFonts w:ascii="Palatino Linotype" w:hAnsi="Palatino Linotype" w:cs="Times New Roman"/>
                <w:lang w:eastAsia="ja-JP"/>
              </w:rPr>
              <w:t>ë</w:t>
            </w:r>
            <w:r w:rsidRPr="00BF7992">
              <w:rPr>
                <w:rFonts w:ascii="Times New Roman" w:hAnsi="Times New Roman" w:cs="Times New Roman"/>
                <w:lang w:eastAsia="ja-JP"/>
              </w:rPr>
              <w:t>.</w:t>
            </w:r>
          </w:p>
          <w:p w:rsidR="0087347C" w:rsidRPr="00BF7992" w:rsidRDefault="0087347C" w:rsidP="00BF7992">
            <w:pPr>
              <w:pStyle w:val="ListParagraph"/>
              <w:ind w:left="0"/>
              <w:jc w:val="center"/>
              <w:rPr>
                <w:rFonts w:ascii="Times New Roman" w:hAnsi="Times New Roman" w:cs="Times New Roman"/>
                <w:lang w:eastAsia="ja-JP"/>
              </w:rPr>
            </w:pPr>
            <w:r w:rsidRPr="00BF7992">
              <w:rPr>
                <w:rFonts w:ascii="Times New Roman" w:hAnsi="Times New Roman" w:cs="Times New Roman"/>
                <w:lang w:eastAsia="ja-JP"/>
              </w:rPr>
              <w:t>-Do ti bllokojmë llogarit</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rrjedh</w:t>
            </w:r>
            <w:r w:rsidRPr="00BF7992">
              <w:rPr>
                <w:rFonts w:ascii="Palatino Linotype" w:hAnsi="Palatino Linotype" w:cs="Times New Roman"/>
                <w:lang w:eastAsia="ja-JP"/>
              </w:rPr>
              <w:t>ë</w:t>
            </w:r>
            <w:r w:rsidRPr="00BF7992">
              <w:rPr>
                <w:rFonts w:ascii="Times New Roman" w:hAnsi="Times New Roman" w:cs="Times New Roman"/>
                <w:lang w:eastAsia="ja-JP"/>
              </w:rPr>
              <w:t>se.</w:t>
            </w:r>
          </w:p>
          <w:p w:rsidR="0087347C" w:rsidRPr="00BF7992" w:rsidRDefault="0087347C" w:rsidP="00BF7992">
            <w:pPr>
              <w:jc w:val="center"/>
              <w:rPr>
                <w:rFonts w:ascii="Times New Roman" w:hAnsi="Times New Roman" w:cs="Times New Roman"/>
                <w:lang w:eastAsia="ja-JP"/>
              </w:rPr>
            </w:pPr>
            <w:r w:rsidRPr="00BF7992">
              <w:rPr>
                <w:rFonts w:ascii="Times New Roman" w:hAnsi="Times New Roman" w:cs="Times New Roman"/>
                <w:lang w:eastAsia="ja-JP"/>
              </w:rPr>
              <w:t>-Dhe me njoftime përfundimtare do ti njoftojm</w:t>
            </w:r>
            <w:r w:rsidRPr="00BF7992">
              <w:rPr>
                <w:rFonts w:ascii="Palatino Linotype" w:hAnsi="Palatino Linotype" w:cs="Times New Roman"/>
                <w:lang w:eastAsia="ja-JP"/>
              </w:rPr>
              <w:t>ë</w:t>
            </w:r>
            <w:r w:rsidRPr="00BF7992">
              <w:rPr>
                <w:rFonts w:ascii="Times New Roman" w:hAnsi="Times New Roman" w:cs="Times New Roman"/>
                <w:lang w:eastAsia="ja-JP"/>
              </w:rPr>
              <w:t xml:space="preserve"> tatimpaguesit p</w:t>
            </w:r>
            <w:r w:rsidRPr="00BF7992">
              <w:rPr>
                <w:rFonts w:ascii="Palatino Linotype" w:hAnsi="Palatino Linotype" w:cs="Times New Roman"/>
                <w:lang w:eastAsia="ja-JP"/>
              </w:rPr>
              <w:t>ë</w:t>
            </w:r>
            <w:r w:rsidRPr="00BF7992">
              <w:rPr>
                <w:rFonts w:ascii="Times New Roman" w:hAnsi="Times New Roman" w:cs="Times New Roman"/>
                <w:lang w:eastAsia="ja-JP"/>
              </w:rPr>
              <w:t>r nd</w:t>
            </w:r>
            <w:r w:rsidRPr="00BF7992">
              <w:rPr>
                <w:rFonts w:ascii="Palatino Linotype" w:hAnsi="Palatino Linotype" w:cs="Times New Roman"/>
                <w:lang w:eastAsia="ja-JP"/>
              </w:rPr>
              <w:t>ë</w:t>
            </w:r>
            <w:r w:rsidRPr="00BF7992">
              <w:rPr>
                <w:rFonts w:ascii="Times New Roman" w:hAnsi="Times New Roman" w:cs="Times New Roman"/>
                <w:lang w:eastAsia="ja-JP"/>
              </w:rPr>
              <w:t>rprerjen e sh</w:t>
            </w:r>
            <w:r w:rsidRPr="00BF7992">
              <w:rPr>
                <w:rFonts w:ascii="Palatino Linotype" w:hAnsi="Palatino Linotype" w:cs="Times New Roman"/>
                <w:lang w:eastAsia="ja-JP"/>
              </w:rPr>
              <w:t>ë</w:t>
            </w:r>
            <w:r w:rsidRPr="00BF7992">
              <w:rPr>
                <w:rFonts w:ascii="Times New Roman" w:hAnsi="Times New Roman" w:cs="Times New Roman"/>
                <w:lang w:eastAsia="ja-JP"/>
              </w:rPr>
              <w:t>rbimeve komunale p</w:t>
            </w:r>
            <w:r w:rsidRPr="00BF7992">
              <w:rPr>
                <w:rFonts w:ascii="Palatino Linotype" w:hAnsi="Palatino Linotype" w:cs="Times New Roman"/>
                <w:lang w:eastAsia="ja-JP"/>
              </w:rPr>
              <w:t>ë</w:t>
            </w:r>
            <w:r w:rsidRPr="00BF7992">
              <w:rPr>
                <w:rFonts w:ascii="Times New Roman" w:hAnsi="Times New Roman" w:cs="Times New Roman"/>
                <w:lang w:eastAsia="ja-JP"/>
              </w:rPr>
              <w:t>r mos pages</w:t>
            </w:r>
            <w:r w:rsidRPr="00BF7992">
              <w:rPr>
                <w:rFonts w:ascii="Palatino Linotype" w:hAnsi="Palatino Linotype" w:cs="Times New Roman"/>
                <w:lang w:eastAsia="ja-JP"/>
              </w:rPr>
              <w:t>ë</w:t>
            </w:r>
            <w:r w:rsidRPr="00BF7992">
              <w:rPr>
                <w:rFonts w:ascii="Times New Roman" w:hAnsi="Times New Roman" w:cs="Times New Roman"/>
                <w:lang w:eastAsia="ja-JP"/>
              </w:rPr>
              <w:t>n e tatimit.</w:t>
            </w:r>
          </w:p>
          <w:p w:rsidR="0087347C" w:rsidRPr="00BF7992" w:rsidRDefault="0087347C" w:rsidP="00BF7992">
            <w:pPr>
              <w:jc w:val="center"/>
              <w:rPr>
                <w:rFonts w:ascii="Times New Roman" w:hAnsi="Times New Roman" w:cs="Times New Roman"/>
                <w:lang w:eastAsia="ja-JP"/>
              </w:rPr>
            </w:pPr>
          </w:p>
          <w:p w:rsidR="0087347C" w:rsidRPr="00BF7992" w:rsidRDefault="0087347C" w:rsidP="00BF7992">
            <w:pPr>
              <w:jc w:val="center"/>
              <w:rPr>
                <w:rFonts w:ascii="Times New Roman" w:hAnsi="Times New Roman" w:cs="Times New Roman"/>
                <w:lang w:eastAsia="ja-JP"/>
              </w:rPr>
            </w:pPr>
            <w:r w:rsidRPr="00BF7992">
              <w:rPr>
                <w:rFonts w:ascii="Times New Roman" w:hAnsi="Times New Roman" w:cs="Times New Roman"/>
                <w:lang w:eastAsia="ja-JP"/>
              </w:rPr>
              <w:t xml:space="preserve">-Ne si  DEZH do ti propozojmë Kryetarit të </w:t>
            </w:r>
            <w:r w:rsidRPr="00BF7992">
              <w:rPr>
                <w:rFonts w:ascii="Times New Roman" w:hAnsi="Times New Roman" w:cs="Times New Roman"/>
                <w:lang w:eastAsia="ja-JP"/>
              </w:rPr>
              <w:lastRenderedPageBreak/>
              <w:t>Komunës  që përmes zyrës ligjore dhe në konsultim me MF të filloj inicimin e procedurës për fshirjen e borxheve nga taksat për lejet afariste të bizneseve që operojnë në Komunën e Lipjanit , pasi që me rregulloren e aprovuara nga asambleja komunale në vitin 2014 , kjo kategori e të hyrave është liruar nga taksa si dhe n si Drejtori i kemi shterur të gjitha veprime e duhura ligjore për arkëtimin këtyre llogarive .</w:t>
            </w:r>
          </w:p>
        </w:tc>
        <w:tc>
          <w:tcPr>
            <w:tcW w:w="990" w:type="dxa"/>
            <w:vAlign w:val="center"/>
          </w:tcPr>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Kryetari i Komunës</w:t>
            </w:r>
          </w:p>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DBF- DEZH</w:t>
            </w:r>
          </w:p>
        </w:tc>
        <w:tc>
          <w:tcPr>
            <w:tcW w:w="1350" w:type="dxa"/>
            <w:vAlign w:val="center"/>
          </w:tcPr>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Prej muajit Shtator 2021</w:t>
            </w: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r w:rsidRPr="00BF7992">
              <w:rPr>
                <w:rFonts w:ascii="Times New Roman" w:hAnsi="Times New Roman" w:cs="Times New Roman"/>
              </w:rPr>
              <w:t>Pas Muajit Nëntor 2021</w:t>
            </w: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p w:rsidR="0087347C" w:rsidRPr="00BF7992" w:rsidRDefault="0087347C" w:rsidP="00BF7992">
            <w:pPr>
              <w:jc w:val="center"/>
              <w:rPr>
                <w:rFonts w:ascii="Times New Roman" w:hAnsi="Times New Roman" w:cs="Times New Roman"/>
              </w:rPr>
            </w:pPr>
          </w:p>
        </w:tc>
        <w:tc>
          <w:tcPr>
            <w:tcW w:w="1710" w:type="dxa"/>
          </w:tcPr>
          <w:p w:rsidR="0087347C" w:rsidRPr="00BF7992" w:rsidRDefault="0087347C">
            <w:pPr>
              <w:rPr>
                <w:rFonts w:ascii="Book Antiqua" w:hAnsi="Book Antiqua"/>
                <w:sz w:val="20"/>
                <w:szCs w:val="20"/>
              </w:rPr>
            </w:pPr>
          </w:p>
        </w:tc>
      </w:tr>
    </w:tbl>
    <w:p w:rsidR="00C835CC" w:rsidRPr="00BF7992" w:rsidRDefault="00C835CC">
      <w:pPr>
        <w:rPr>
          <w:sz w:val="20"/>
          <w:szCs w:val="20"/>
        </w:rPr>
      </w:pPr>
    </w:p>
    <w:p w:rsidR="00711C88" w:rsidRPr="00EF0B30" w:rsidRDefault="00711C88">
      <w:pPr>
        <w:rPr>
          <w:b/>
          <w:bCs/>
          <w:sz w:val="20"/>
          <w:szCs w:val="20"/>
        </w:rPr>
      </w:pPr>
    </w:p>
    <w:p w:rsidR="00711C88" w:rsidRPr="00EF0B30" w:rsidRDefault="00711C88" w:rsidP="00711C88">
      <w:pPr>
        <w:rPr>
          <w:b/>
          <w:bCs/>
          <w:sz w:val="20"/>
          <w:szCs w:val="20"/>
        </w:rPr>
      </w:pPr>
      <w:r w:rsidRPr="00EF0B30">
        <w:rPr>
          <w:b/>
          <w:bCs/>
          <w:sz w:val="20"/>
          <w:szCs w:val="20"/>
        </w:rPr>
        <w:t xml:space="preserve">Më : 23.09.2021                                                                                                                                                             Miratoi : Kryetari i Komunës </w:t>
      </w:r>
    </w:p>
    <w:p w:rsidR="00711C88" w:rsidRPr="00EF0B30" w:rsidRDefault="00711C88" w:rsidP="00711C88">
      <w:pPr>
        <w:tabs>
          <w:tab w:val="left" w:pos="8416"/>
        </w:tabs>
        <w:rPr>
          <w:b/>
          <w:bCs/>
          <w:sz w:val="20"/>
          <w:szCs w:val="20"/>
        </w:rPr>
      </w:pPr>
      <w:r w:rsidRPr="00EF0B30">
        <w:rPr>
          <w:b/>
          <w:bCs/>
          <w:sz w:val="20"/>
          <w:szCs w:val="20"/>
        </w:rPr>
        <w:tab/>
        <w:t xml:space="preserve">               Imri Ahmeti </w:t>
      </w:r>
    </w:p>
    <w:p w:rsidR="004253D3" w:rsidRPr="00EF0B30" w:rsidRDefault="00711C88" w:rsidP="00711C88">
      <w:pPr>
        <w:rPr>
          <w:b/>
          <w:bCs/>
          <w:sz w:val="20"/>
          <w:szCs w:val="20"/>
        </w:rPr>
      </w:pPr>
      <w:r w:rsidRPr="00EF0B30">
        <w:rPr>
          <w:b/>
          <w:bCs/>
          <w:sz w:val="20"/>
          <w:szCs w:val="20"/>
        </w:rPr>
        <w:t xml:space="preserve">Lipjan –NJAB </w:t>
      </w:r>
    </w:p>
    <w:sectPr w:rsidR="004253D3" w:rsidRPr="00EF0B30" w:rsidSect="00C835CC">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0F0C"/>
    <w:multiLevelType w:val="hybridMultilevel"/>
    <w:tmpl w:val="BE2AF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90984"/>
    <w:rsid w:val="000A3E44"/>
    <w:rsid w:val="000C5F56"/>
    <w:rsid w:val="0015620D"/>
    <w:rsid w:val="00184F2D"/>
    <w:rsid w:val="00241C08"/>
    <w:rsid w:val="002A10BB"/>
    <w:rsid w:val="00343318"/>
    <w:rsid w:val="00366E12"/>
    <w:rsid w:val="003B0937"/>
    <w:rsid w:val="004253D3"/>
    <w:rsid w:val="00434B08"/>
    <w:rsid w:val="004911F5"/>
    <w:rsid w:val="004B67B0"/>
    <w:rsid w:val="00501588"/>
    <w:rsid w:val="0050456B"/>
    <w:rsid w:val="00591FC8"/>
    <w:rsid w:val="005A4C11"/>
    <w:rsid w:val="006233CD"/>
    <w:rsid w:val="006C4C31"/>
    <w:rsid w:val="0070641A"/>
    <w:rsid w:val="00711C88"/>
    <w:rsid w:val="008073E0"/>
    <w:rsid w:val="0087347C"/>
    <w:rsid w:val="008D5E00"/>
    <w:rsid w:val="00926439"/>
    <w:rsid w:val="00942BFF"/>
    <w:rsid w:val="00955C24"/>
    <w:rsid w:val="009B13EB"/>
    <w:rsid w:val="00A81F25"/>
    <w:rsid w:val="00A90984"/>
    <w:rsid w:val="00AE6668"/>
    <w:rsid w:val="00B54EE8"/>
    <w:rsid w:val="00BF7992"/>
    <w:rsid w:val="00C42A05"/>
    <w:rsid w:val="00C647B7"/>
    <w:rsid w:val="00C75713"/>
    <w:rsid w:val="00C835CC"/>
    <w:rsid w:val="00CA7AFD"/>
    <w:rsid w:val="00CF7C87"/>
    <w:rsid w:val="00D003D0"/>
    <w:rsid w:val="00D76082"/>
    <w:rsid w:val="00E24671"/>
    <w:rsid w:val="00E3530B"/>
    <w:rsid w:val="00E55F90"/>
    <w:rsid w:val="00E6431C"/>
    <w:rsid w:val="00E83F89"/>
    <w:rsid w:val="00EA3178"/>
    <w:rsid w:val="00EC25F3"/>
    <w:rsid w:val="00EF0B30"/>
    <w:rsid w:val="00FE25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A05"/>
    <w:rPr>
      <w:lang w:val="sq-AL"/>
    </w:rPr>
  </w:style>
  <w:style w:type="paragraph" w:styleId="Heading1">
    <w:name w:val="heading 1"/>
    <w:basedOn w:val="Normal"/>
    <w:next w:val="Normal"/>
    <w:link w:val="Heading1Char"/>
    <w:qFormat/>
    <w:rsid w:val="00343318"/>
    <w:pPr>
      <w:keepNext/>
      <w:spacing w:after="0" w:line="240" w:lineRule="auto"/>
      <w:outlineLvl w:val="0"/>
    </w:pPr>
    <w:rPr>
      <w:rFonts w:ascii="Times New Roman" w:eastAsia="MS Mincho"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984"/>
    <w:rPr>
      <w:rFonts w:ascii="Tahoma" w:hAnsi="Tahoma" w:cs="Tahoma"/>
      <w:sz w:val="16"/>
      <w:szCs w:val="16"/>
      <w:lang w:val="sq-AL"/>
    </w:rPr>
  </w:style>
  <w:style w:type="table" w:styleId="TableGrid">
    <w:name w:val="Table Grid"/>
    <w:basedOn w:val="TableNormal"/>
    <w:uiPriority w:val="59"/>
    <w:rsid w:val="00C83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43318"/>
    <w:rPr>
      <w:rFonts w:ascii="Times New Roman" w:eastAsia="MS Mincho" w:hAnsi="Times New Roman" w:cs="Times New Roman"/>
      <w:b/>
      <w:bCs/>
      <w:sz w:val="24"/>
      <w:szCs w:val="24"/>
      <w:lang w:val="sq-AL"/>
    </w:rPr>
  </w:style>
  <w:style w:type="paragraph" w:customStyle="1" w:styleId="Default">
    <w:name w:val="Default"/>
    <w:rsid w:val="008073E0"/>
    <w:pPr>
      <w:autoSpaceDE w:val="0"/>
      <w:autoSpaceDN w:val="0"/>
      <w:adjustRightInd w:val="0"/>
      <w:spacing w:after="0" w:line="240" w:lineRule="auto"/>
    </w:pPr>
    <w:rPr>
      <w:rFonts w:ascii="Book Antiqua" w:eastAsia="MS Mincho" w:hAnsi="Book Antiqua" w:cs="Book Antiqua"/>
      <w:color w:val="000000"/>
      <w:sz w:val="24"/>
      <w:szCs w:val="24"/>
    </w:rPr>
  </w:style>
  <w:style w:type="paragraph" w:styleId="ListParagraph">
    <w:name w:val="List Paragraph"/>
    <w:basedOn w:val="Normal"/>
    <w:uiPriority w:val="34"/>
    <w:qFormat/>
    <w:rsid w:val="00366E12"/>
    <w:pPr>
      <w:ind w:left="720"/>
      <w:contextualSpacing/>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984"/>
    <w:rPr>
      <w:rFonts w:ascii="Tahoma" w:hAnsi="Tahoma" w:cs="Tahoma"/>
      <w:sz w:val="16"/>
      <w:szCs w:val="16"/>
      <w:lang w:val="sq-AL"/>
    </w:rPr>
  </w:style>
  <w:style w:type="table" w:styleId="TableGrid">
    <w:name w:val="Table Grid"/>
    <w:basedOn w:val="TableNormal"/>
    <w:uiPriority w:val="59"/>
    <w:rsid w:val="00C83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rspanca</dc:creator>
  <cp:lastModifiedBy>Administrator</cp:lastModifiedBy>
  <cp:revision>2</cp:revision>
  <cp:lastPrinted>2021-07-30T07:52:00Z</cp:lastPrinted>
  <dcterms:created xsi:type="dcterms:W3CDTF">2021-12-03T07:31:00Z</dcterms:created>
  <dcterms:modified xsi:type="dcterms:W3CDTF">2021-12-03T07:31:00Z</dcterms:modified>
</cp:coreProperties>
</file>