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1D4A7A" w:rsidRPr="001D4A7A" w:rsidTr="001D4A7A">
        <w:trPr>
          <w:trHeight w:val="735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4A7A" w:rsidRDefault="001D4A7A" w:rsidP="001D4A7A">
            <w:pPr>
              <w:pStyle w:val="table0020normal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D4A7A">
              <w:t> 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1D4A7A" w:rsidRPr="001D4A7A" w:rsidRDefault="001D4A7A" w:rsidP="001D4A7A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A7A" w:rsidRPr="001D4A7A" w:rsidRDefault="001D4A7A" w:rsidP="001D4A7A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4A7A" w:rsidRPr="001D4A7A" w:rsidRDefault="001D4A7A" w:rsidP="001D4A7A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4A7A" w:rsidRPr="001D4A7A" w:rsidRDefault="001D4A7A" w:rsidP="001D4A7A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graphic03"/>
            <w:bookmarkEnd w:id="0"/>
            <w:r w:rsidRPr="001D4A7A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bookmarkStart w:id="1" w:name="graphic04"/>
            <w:bookmarkEnd w:id="1"/>
          </w:p>
          <w:p w:rsidR="001D4A7A" w:rsidRPr="001D4A7A" w:rsidRDefault="001D4A7A" w:rsidP="001D4A7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1D4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REPUBLIKA E KOSOVËS                                                                                                   KOMUNA E LIPJANIT</w:t>
            </w:r>
          </w:p>
          <w:p w:rsidR="001D4A7A" w:rsidRPr="001D4A7A" w:rsidRDefault="001D4A7A" w:rsidP="001D4A7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REPUBLIKA KOSOVA                                                                                                           OPŠTINA LIPLJAN</w:t>
            </w:r>
          </w:p>
          <w:p w:rsidR="001D4A7A" w:rsidRPr="001D4A7A" w:rsidRDefault="001D4A7A" w:rsidP="001D4A7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REPUBLIC OF KOSOVO                                                                                                 MUNICIPALITY OF LIPJAN</w:t>
            </w:r>
          </w:p>
        </w:tc>
      </w:tr>
      <w:tr w:rsidR="001D4A7A" w:rsidRPr="001D4A7A" w:rsidTr="001D4A7A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4A7A" w:rsidRPr="001D4A7A" w:rsidRDefault="001D4A7A" w:rsidP="001D4A7A">
            <w:pPr>
              <w:spacing w:after="0" w:line="240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center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Komuna e Lipjanit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1D4A7A" w:rsidRPr="001D4A7A" w:rsidRDefault="001D4A7A" w:rsidP="001D4A7A">
      <w:pPr>
        <w:spacing w:after="0" w:line="260" w:lineRule="atLeast"/>
        <w:jc w:val="center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Thirrja për aplikim- Objektivi Strategjik i komponentes të Sportit</w:t>
      </w:r>
    </w:p>
    <w:p w:rsidR="001D4A7A" w:rsidRPr="001D4A7A" w:rsidRDefault="001D4A7A" w:rsidP="001D4A7A">
      <w:pPr>
        <w:spacing w:after="0" w:line="260" w:lineRule="atLeast"/>
        <w:jc w:val="center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center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Udhëzimet për Aplikantët</w:t>
      </w:r>
    </w:p>
    <w:p w:rsidR="001D4A7A" w:rsidRPr="001D4A7A" w:rsidRDefault="001D4A7A" w:rsidP="001D4A7A">
      <w:pPr>
        <w:spacing w:after="0" w:line="260" w:lineRule="atLeast"/>
        <w:jc w:val="center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hd w:val="clear" w:color="auto" w:fill="FFFFFF" w:themeFill="background1"/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hd w:val="clear" w:color="auto" w:fill="FFFFFF" w:themeFill="background1"/>
        <w:spacing w:after="0" w:line="260" w:lineRule="atLeast"/>
        <w:jc w:val="center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Data e hapjes së thirrjes: 24.09.2019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center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fundit për dorëzimin e aplikac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ioneve: 15.10.2019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480" w:after="0" w:line="280" w:lineRule="atLeast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1D4A7A" w:rsidRPr="001D4A7A" w:rsidRDefault="001D4A7A" w:rsidP="001D4A7A">
      <w:pPr>
        <w:spacing w:before="480" w:after="0" w:line="280" w:lineRule="atLeast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lastRenderedPageBreak/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bookmarkStart w:id="3" w:name="_Toc469306972"/>
      <w:bookmarkEnd w:id="3"/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Thirrja për aplikim- Objektivi Strategjik i Komponentes se sportit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bookmarkStart w:id="4" w:name="_Toc469306974"/>
      <w:bookmarkEnd w:id="4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1. OBJEKTIVAT E THIRRJES DHE PRIORITETET PËR NDARJEN E FONDEVE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Objektivi i përgjithshme i kësaj Thirrje është: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Komuna e Lipjanit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u bënë thirrje të gjitha organizatave jo-qeveritare (KLUBET SPORTIVE)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me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kategori të reja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( junior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, kadet, pionier, fatosa etj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.),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dhe gara individuale sportive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në komunen e Lipjanit, programi i punës i të cilave është i fokusuar në komponenten e sportit të aplikojnë për mbështetje financiare për projektet që kontribuojnë në objektivit të përgjithshëm</w:t>
      </w:r>
      <w:r w:rsidRPr="001D4A7A">
        <w:rPr>
          <w:rFonts w:ascii="Times New Roman" w:eastAsia="Times New Roman" w:hAnsi="Times New Roman" w:cs="Times New Roman"/>
          <w:color w:val="FF0000"/>
          <w:sz w:val="24"/>
          <w:szCs w:val="24"/>
        </w:rPr>
        <w:t>: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Avancimin dhe afirmimin e Sportit  ne Lipjan.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Objektivat specifike të kësaj Thirrje janë: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40" w:line="260" w:lineRule="atLeast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</w:rPr>
        <w:t>a)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</w:rPr>
        <w:t>Mbeshtetja e aktiviteteve të përgjithshme</w:t>
      </w:r>
      <w:proofErr w:type="gramStart"/>
      <w:r w:rsidRPr="001D4A7A">
        <w:rPr>
          <w:rFonts w:ascii="Times New Roman" w:eastAsia="Times New Roman" w:hAnsi="Times New Roman" w:cs="Times New Roman"/>
          <w:color w:val="000000"/>
        </w:rPr>
        <w:t>  sportive</w:t>
      </w:r>
      <w:proofErr w:type="gramEnd"/>
    </w:p>
    <w:p w:rsidR="001D4A7A" w:rsidRPr="001D4A7A" w:rsidRDefault="001D4A7A" w:rsidP="001D4A7A">
      <w:pPr>
        <w:spacing w:after="240" w:line="260" w:lineRule="atLeast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</w:rPr>
        <w:t>b)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</w:rPr>
        <w:t>Organizimi i ngjarjeve me karakter bashkëpunimi për promovim të vlerave sportive</w:t>
      </w:r>
    </w:p>
    <w:p w:rsidR="001D4A7A" w:rsidRPr="001D4A7A" w:rsidRDefault="001D4A7A" w:rsidP="001D4A7A">
      <w:pPr>
        <w:spacing w:after="24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c)     Përfshirja e të rinjve nga grupet e margjinalizuara në aktivitetet sportive;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Prioritet për ofrimin e mbështetjes financiare publike do të kenë: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Klubet të cilat: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Kanë përvojë të dëshmuar në zbatimin e projekteve nga fusha të cilën e mbulojnë (të bashkëngjiten dëshmitë për projektet e zbatuara në projekt-propozim;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Bëjnë përfshirjen e profesionistëve nga fusha e ngritjes së kapaciteteve për të zbatuar pjesët profesionale;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Kanë qenë korrekte në zbatimin dhe raportimin e projekteve të financuara nga DKRS-ja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Masovizimin e sportit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Gjendja aktuale ne ligen përkatëse.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Calibri" w:eastAsia="Times New Roman" w:hAnsi="Calibri" w:cs="Calibri"/>
          <w:color w:val="000000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Calibri" w:eastAsia="Times New Roman" w:hAnsi="Calibri" w:cs="Calibri"/>
          <w:color w:val="000000"/>
        </w:rPr>
        <w:lastRenderedPageBreak/>
        <w:t> </w:t>
      </w: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br/>
      </w:r>
      <w:bookmarkStart w:id="5" w:name="_Toc469306976"/>
      <w:bookmarkEnd w:id="5"/>
      <w:r w:rsidRPr="001D4A7A">
        <w:rPr>
          <w:rFonts w:ascii="Times New Roman" w:eastAsia="Times New Roman" w:hAnsi="Times New Roman" w:cs="Times New Roman"/>
          <w:color w:val="4F81BD"/>
          <w:sz w:val="24"/>
          <w:szCs w:val="24"/>
        </w:rPr>
        <w:t>2. KUSHTET FORMALE TË THIRRJES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6" w:name="_Toc469306977"/>
      <w:bookmarkEnd w:id="6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 xml:space="preserve">2.1. Aplikuesit e pranueshëm: </w:t>
      </w:r>
      <w:proofErr w:type="gramStart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kush</w:t>
      </w:r>
      <w:proofErr w:type="gramEnd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 xml:space="preserve"> mund të aplikoj?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ind w:left="8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Të drejtë aplikimi me projektet e tyre kanë Klubet Sportive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me kategori të reja ( junior, kadet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,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pionier, fatosa etj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.),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dhe gara individuale sportive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që janë të regjistruara në regjistrin e organizatave jo-Qeveritare në Republikën e Kosovës, të cilat janë dhe bëjnë gara në Federatat përkatës dhe të cilat veprojnë në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Komunën e Lipjanit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para datës së publikimit të thirrjes publike. Klubet Sportive aplikuese duhet të dëshmojnë se programi i tyre i punës është i fokusuar në fushën e Sportit përkatësish te komponëntes se pjesëmarrjes.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Klubet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duhet po ashtu të kenë kryer transaksionet financiare në mënyrë transparente sipas legjislacionit për OJQ-të në Republikën e Kosovës dhe në përputhje me rregullat e kontabilitetit si dhe të kenë përmbushur detyrimet kontraktuare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ndaj Komunës së Lipjanit dhe Drejtoratit</w:t>
      </w:r>
      <w:proofErr w:type="gramStart"/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të</w:t>
      </w:r>
      <w:proofErr w:type="gramEnd"/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Kulturës Rinisë dhe Sportit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dhe të gjithë ofruesve tjerë të mbështetjes financiare publike.</w:t>
      </w:r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Para nënshkrimit të kontratës, Klubet duhet të paraqesin prova se personi përgjegjës në Klub dhe menaxheri i projektit nuk janë nën hetime për vepra penale, si dhe prova se Klubi ka zgjidhur çdo çështje të hapur rreth pagesës së kontributeve dhe tatimeve të papaguara, nëse është e aplikueshme.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Klubet mund të aplikojnë me më së shumti një (1) projekt në kuadër të kësaj thirrje, i cili mund të mbuloj një (1) apo të gjitha fushat prioritare sipas thirrjes.  Periudha e zbatimit të projektit është për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maksimum 3 muaj.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7" w:name="_Toc469306978"/>
      <w:bookmarkEnd w:id="7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2.2 Partnerët e mundshem në zbatimin e projektit/programit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Partneriteti me organizata të tjera është i preferueshëm dhe nuk është i detyrueshëm, gjithashtu e njëjta organizatë nuk mund të marrë pjesë në më shumë së një projekt.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Partneriteti përfshinë marrëdhëniet mes OJQ-ve që nënkupton përgjegjësi në zbatimin e programit/projektit të financuar nga ofruesit e mbështetjes financiare. Në mënyrë që projekti/programi të zbatohet pa probleme, të gjitha organizatat që janë pjesë e partneritetit duhet të pajtohen me parimet e praktikës së mirë në partneritet:</w:t>
      </w:r>
    </w:p>
    <w:p w:rsidR="001D4A7A" w:rsidRPr="001D4A7A" w:rsidRDefault="001D4A7A" w:rsidP="001D4A7A">
      <w:pPr>
        <w:spacing w:after="0" w:line="260" w:lineRule="atLeast"/>
        <w:ind w:left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Kushtet e Partneritetit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Të gjithë partnerët autorizojë Aplikuesin për t'i përfaqësuar ata në të gjitha marrëdhëniet me ofruesin e mbështetjes financiare në kontekstin e zbatimit të projektit/programit.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Aplikuesi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Të gjithë partnerët do të marrin pjesë në përgatitjen e pasqyrave të përbashkëta përshkruese dhe të veçanta financiare, dhe aplikuesi në emër të të gjithë partnerëve paraqet ato tek ofruesi i mbështetjes financiare.</w:t>
      </w:r>
    </w:p>
    <w:p w:rsidR="001D4A7A" w:rsidRPr="001D4A7A" w:rsidRDefault="001D4A7A" w:rsidP="001D4A7A">
      <w:pPr>
        <w:spacing w:after="0" w:line="260" w:lineRule="atLeast"/>
        <w:ind w:left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Propozimi për ndryshime në partnerët e projektit duhet të bëhet me marrëveshje në mes të partnerëve, ndërsa aplikuesi e dorëzon atë tek ofruesi i mbështetjes financiare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8" w:name="_Toc469306979"/>
      <w:bookmarkEnd w:id="8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2.3 Aktivitetet e pranueshme që do të financohen përmes thirrjes</w:t>
      </w:r>
    </w:p>
    <w:p w:rsidR="001D4A7A" w:rsidRPr="001D4A7A" w:rsidRDefault="001D4A7A" w:rsidP="001D4A7A">
      <w:pPr>
        <w:spacing w:after="0" w:line="260" w:lineRule="atLeast"/>
        <w:ind w:left="-8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Aktivitetet e pranueshme për t’u mbështetur janë: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Symbol" w:eastAsia="Times New Roman" w:hAnsi="Symbol" w:cs="Calibri"/>
          <w:color w:val="000000"/>
          <w:sz w:val="24"/>
          <w:szCs w:val="24"/>
        </w:rPr>
        <w:t>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 që janë të bazuara në fushat prioritare në bazë të thirrjes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Symbol" w:eastAsia="Times New Roman" w:hAnsi="Symbol" w:cs="Calibri"/>
          <w:color w:val="000000"/>
          <w:sz w:val="24"/>
          <w:szCs w:val="24"/>
        </w:rPr>
        <w:t>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Projektet që do të kenë kohëzgjatje të zbatimit deri në 3 muaj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Symbol" w:eastAsia="Times New Roman" w:hAnsi="Symbol" w:cs="Calibri"/>
          <w:color w:val="000000"/>
          <w:sz w:val="24"/>
          <w:szCs w:val="24"/>
        </w:rPr>
        <w:t>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Aktivitetet që zbatohen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territorit të Republikës së Kosovës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Symbol" w:eastAsia="Times New Roman" w:hAnsi="Symbol" w:cs="Calibri"/>
          <w:color w:val="000000"/>
          <w:sz w:val="24"/>
          <w:szCs w:val="24"/>
        </w:rPr>
        <w:t>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 që kanë kosto reale të paraqitur në projekt propozim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Llojet e mëposhtme të aktiviteteve nuk janë të pranueshme për financim: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_Toc469306980"/>
      <w:bookmarkEnd w:id="9"/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Nuk financohen aktivitetet që zgjasin më pak se një muaj dhe më shumë se gjashtë muaj,  inventari, qiraja për zyre, komunalit si dhe nuk përkrahen projektet e Klubeve që tek të rinjtë mund të kenë ndikim politik, religjioz etj. Nuk do të përkrahen projekt-propozimet e Klubeve  që në Drejtoratin për Kulturë, Rini dhe Sport dhe në Komunën e Lipjanit kanë avance të pambyllura, si dhe nuk do të shqyrtohen projekt-propozimet me dokumentacion të pakompletuar.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2.4 Shpenzimet e pranueshme që do të financohen përmes thirrjes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Përmes fondeve publike të kësaj thirrje publike mund të financohen vetëm kostot reale dhe të pranueshme për realizimin e aktiviteteve të projektit, në periudhën kohore të specifikuar me këto udhëzime. Në vlerësimin e projektit/programit do të vlerësohen vetëm kostot e nevojave në lidhje me aktivitetet e planifikuara, si dhe në lartësinë reale të këtyre shpenzimeve.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br/>
      </w:r>
      <w:bookmarkStart w:id="10" w:name="_Toc469306981"/>
      <w:bookmarkEnd w:id="10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2.4.1</w:t>
      </w:r>
      <w:proofErr w:type="gramStart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  Shpenzimet</w:t>
      </w:r>
      <w:proofErr w:type="gramEnd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 xml:space="preserve"> e drejtpërdrejta të pranueshme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lastRenderedPageBreak/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Shpenzimet sipas kostove të pranueshme direkt përfshijnë shpenzimet që janë direkt të lidhura me zbatimin e disa aktiviteteve projektit ose të programit të propozuar, të tilla si: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0C0C0"/>
        </w:rPr>
        <w:t>Sipas përshkrimit në formularin e buxhetit: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4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 Kostot direkte (specifiko shpenzimet që janë të lidhura direkt me projektin)</w:t>
      </w:r>
    </w:p>
    <w:p w:rsidR="001D4A7A" w:rsidRPr="001D4A7A" w:rsidRDefault="001D4A7A" w:rsidP="001D4A7A">
      <w:pPr>
        <w:spacing w:after="0" w:line="240" w:lineRule="atLeast"/>
        <w:ind w:left="3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2. Kontratat (pagesat) për shërbime</w:t>
      </w:r>
    </w:p>
    <w:p w:rsidR="001D4A7A" w:rsidRPr="001D4A7A" w:rsidRDefault="001D4A7A" w:rsidP="001D4A7A">
      <w:pPr>
        <w:spacing w:after="0" w:line="240" w:lineRule="atLeast"/>
        <w:ind w:left="1440" w:hanging="72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1.2.1.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Pagesa e referimit për ndeshjet zyrtare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40" w:lineRule="atLeast"/>
        <w:ind w:left="3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Udhëtimi</w:t>
      </w:r>
    </w:p>
    <w:p w:rsidR="001D4A7A" w:rsidRPr="001D4A7A" w:rsidRDefault="001D4A7A" w:rsidP="001D4A7A">
      <w:pPr>
        <w:spacing w:after="0" w:line="240" w:lineRule="atLeast"/>
        <w:ind w:left="1080" w:hanging="3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2.1.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Pagesa e transportit për ndeshje zyrtare</w:t>
      </w:r>
    </w:p>
    <w:p w:rsidR="001D4A7A" w:rsidRPr="001D4A7A" w:rsidRDefault="001D4A7A" w:rsidP="001D4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0" w:line="240" w:lineRule="atLeast"/>
        <w:ind w:left="3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Mallëra</w:t>
      </w:r>
    </w:p>
    <w:p w:rsidR="001D4A7A" w:rsidRPr="001D4A7A" w:rsidRDefault="001D4A7A" w:rsidP="001D4A7A">
      <w:pPr>
        <w:spacing w:after="0" w:line="240" w:lineRule="atLeast"/>
        <w:ind w:left="1400" w:hanging="70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3.1.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Pagesa për blerje të rekuizitave sportive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0" w:line="240" w:lineRule="atLeast"/>
        <w:ind w:left="3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Kostot tjera, shërbimet</w:t>
      </w:r>
    </w:p>
    <w:p w:rsidR="001D4A7A" w:rsidRPr="001D4A7A" w:rsidRDefault="001D4A7A" w:rsidP="001D4A7A">
      <w:pPr>
        <w:spacing w:after="0" w:line="240" w:lineRule="atLeast"/>
        <w:ind w:left="1260" w:hanging="5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4.1.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Pagesa e ushqimit për ndeshje zyrtare</w:t>
      </w:r>
    </w:p>
    <w:p w:rsidR="001D4A7A" w:rsidRPr="001D4A7A" w:rsidRDefault="001D4A7A" w:rsidP="001D4A7A">
      <w:pPr>
        <w:spacing w:after="0" w:line="240" w:lineRule="atLeast"/>
        <w:ind w:left="1260" w:hanging="5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4.2.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Pagesa e regjistrimit dhe kotizimit në Federatat përkatëse</w:t>
      </w:r>
    </w:p>
    <w:p w:rsidR="001D4A7A" w:rsidRPr="001D4A7A" w:rsidRDefault="001D4A7A" w:rsidP="001D4A7A">
      <w:pPr>
        <w:spacing w:after="0" w:line="240" w:lineRule="atLeast"/>
        <w:ind w:left="1260" w:hanging="5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4.3.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Pagesa e mjekut gjatë ndeshjeve zyrtare</w:t>
      </w:r>
    </w:p>
    <w:p w:rsidR="001D4A7A" w:rsidRPr="001D4A7A" w:rsidRDefault="001D4A7A" w:rsidP="001D4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 Shpenzimet indirekte (janë kostot që janë të lidhura në mënyrë indirekte me zbatimin e projektit, përqindja e deri në 5% për këtë linjë buxhetore nga vlera e buxhetit të projektit kërkuar nga [ofruesi mbështetjes financiare])</w:t>
      </w:r>
    </w:p>
    <w:p w:rsidR="001D4A7A" w:rsidRPr="001D4A7A" w:rsidRDefault="001D4A7A" w:rsidP="001D4A7A">
      <w:pPr>
        <w:spacing w:after="0" w:line="240" w:lineRule="atLeast"/>
        <w:ind w:left="360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Shpenzimet e kryerjes së operacioneve (specifiko, për shembull, shërbimet e ndryshme indirekte, shërbimit të kontabilitetit etj.) </w:t>
      </w:r>
    </w:p>
    <w:p w:rsidR="001D4A7A" w:rsidRPr="001D4A7A" w:rsidRDefault="001D4A7A" w:rsidP="001D4A7A">
      <w:pPr>
        <w:spacing w:before="200" w:after="0" w:line="260" w:lineRule="atLeast"/>
        <w:ind w:left="720" w:hanging="36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1.</w:t>
      </w:r>
      <w:r w:rsidRPr="001D4A7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     </w:t>
      </w:r>
      <w:bookmarkStart w:id="11" w:name="_Toc469306982"/>
      <w:bookmarkEnd w:id="11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2.4.2 Shpenzimet e tërthorta të pranueshme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Përveç shpenzime të pranueshme direkte, në kuadër të kësaj thirrje do të pranohen edhe kostot indirekte (përqindje e vlerës totale të projektit/programit). Në kuadër të këtyre shpenzimeve përfshihen kostot që nuk janë të lidhura direkt me zbatimin e projektit ose programit, por janë kosto që në mënyrë të tërthortë kontribuojë në arritjen e objektivave të projektit. Edhe këto kosto duhet të specifikohen dhe të shpjegohen.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lastRenderedPageBreak/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12" w:name="_Toc469306983"/>
      <w:bookmarkEnd w:id="12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2.4.3 Shpenzimet e papranueshme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Shpenzimet e papranueshme përfshijnë: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Shpenzimet për aktivitetet që zgjasin më pak se një (1) muaj dhe më shumë se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dhjetë(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10) muaj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Shpenzimet për mblerje të inventarit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Qiraja për zyre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Komunalitë,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Nuk përkrahen projektet e OJQ-ve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(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KLUBEVE )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që tek të rinjtë mund të kenë ndikim politik, religjioz etj.</w:t>
      </w:r>
    </w:p>
    <w:p w:rsidR="001D4A7A" w:rsidRPr="001D4A7A" w:rsidRDefault="001D4A7A" w:rsidP="001D4A7A">
      <w:pPr>
        <w:spacing w:after="0" w:line="2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Nuk do të përkrahen projekt-propozimet e Klubeve që në Drejtorat për Kulturë, Rini dhe Sport dhe në Komunën e Lipjanit kanë avance të pambyllura, si dhe nuk do të shqyrtohen projekt-propozimet me dokumentacion të pakompletuar.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13" w:name="_Toc469306984"/>
      <w:bookmarkEnd w:id="13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3. SI TË APLIKONI?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Propozimet do të dorëzohen vetëm në formularët e paraparë, të cilat së bashku me Udhëzimet për Aplikantët, janë në dispozicion në faqen e internetit të ofruesit të mbështetjes financiare </w:t>
      </w:r>
      <w:hyperlink r:id="rId4" w:tgtFrame="_blank" w:history="1">
        <w:r w:rsidRPr="001D4A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https://kk.rks-gov.net/lipjan/</w:t>
        </w:r>
      </w:hyperlink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 e kompletuara duhet të dërgohen me postë ose personalisht, në adresën e mëposhtme: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>KOMUNA E LIPJANIT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 xml:space="preserve">Rruga </w:t>
      </w:r>
      <w:proofErr w:type="gramStart"/>
      <w:r w:rsidRPr="001D4A7A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>,,Shqipëria</w:t>
      </w:r>
      <w:proofErr w:type="gramEnd"/>
      <w:r w:rsidRPr="001D4A7A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>”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 xml:space="preserve">Zyra për shërbim të </w:t>
      </w:r>
      <w:proofErr w:type="gramStart"/>
      <w:r w:rsidRPr="001D4A7A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>qytetarëve ,</w:t>
      </w:r>
      <w:proofErr w:type="gramEnd"/>
      <w:r w:rsidRPr="001D4A7A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 xml:space="preserve"> nr 3,</w:t>
      </w:r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Afati i fundit për dorëzimin e propozimeve është 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15 ditë pune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pas publikimit dhe përfundon me datë 15.10.2019</w:t>
      </w:r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Aplikimi i OJQ-ve do të konsiderohet i plotë nëse përmban të gjitha format e aplikimit dhe anekset e detyrueshme siç kërkohet në thirrjen publike dhe dokumentacionin e thirrjes si në vijim: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1.</w:t>
      </w:r>
      <w:r w:rsidRPr="001D4A7A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bookmarkStart w:id="14" w:name="_Toc469306985"/>
      <w:bookmarkEnd w:id="14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Formulari i Aplikacionit për projekt/programit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2.</w:t>
      </w:r>
      <w:r w:rsidRPr="001D4A7A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Formulari i Propozim buxhetit 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3.</w:t>
      </w:r>
      <w:r w:rsidRPr="001D4A7A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Formulari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 i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deklaratës për mungesë të financimit të dyfishtë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4.</w:t>
      </w:r>
      <w:r w:rsidRPr="001D4A7A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F12 Formular i deklaratës se partneritetit (e shtypur dhe të nënshkruar nëse aplikohet)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5.</w:t>
      </w:r>
      <w:r w:rsidRPr="001D4A7A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F13 Forma e deklaratës se projekteve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te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financuara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6.</w:t>
      </w:r>
      <w:r w:rsidRPr="001D4A7A">
        <w:rPr>
          <w:rFonts w:ascii="Calibri" w:eastAsia="Times New Roman" w:hAnsi="Calibri" w:cs="Calibri"/>
          <w:color w:val="000000"/>
          <w:sz w:val="20"/>
          <w:szCs w:val="2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Dokumentacionet e OJQ-së: Certifikata e regjistrimit, dhe certifikata e nr fiskal si dhe dëshmia mbi llogarinë bankare (e shtypur)</w:t>
      </w:r>
    </w:p>
    <w:p w:rsidR="001D4A7A" w:rsidRPr="001D4A7A" w:rsidRDefault="001D4A7A" w:rsidP="001D4A7A">
      <w:pPr>
        <w:spacing w:after="20" w:line="2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lastRenderedPageBreak/>
        <w:t>7.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Deklaratë e dorëzimit të pasqyrave financiare vjetore të deklaruara në ATK për vitin 2018;</w:t>
      </w:r>
    </w:p>
    <w:p w:rsidR="001D4A7A" w:rsidRPr="001D4A7A" w:rsidRDefault="001D4A7A" w:rsidP="001D4A7A">
      <w:pPr>
        <w:spacing w:after="20" w:line="2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8.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Vërtetim nga Administrata Tatimore e Kosovës në lidhje me gjendjen e obligimeve apo borxhit publik të aplikuesit dhe partnerëve që vërteton se organizata nuk ka borxh publik apo ka ndonjë marrëveshje për shlyrje të obligimeve apo borxhit publik;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9.</w:t>
      </w: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papaguara.</w:t>
      </w:r>
    </w:p>
    <w:p w:rsidR="001D4A7A" w:rsidRPr="001D4A7A" w:rsidRDefault="001D4A7A" w:rsidP="001D4A7A">
      <w:pPr>
        <w:spacing w:after="0" w:line="2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10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.Vërtetim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nga federate për pjesëmarrje në gara, si dhe orarin e ndeshjeve.</w:t>
      </w:r>
    </w:p>
    <w:p w:rsidR="001D4A7A" w:rsidRPr="001D4A7A" w:rsidRDefault="001D4A7A" w:rsidP="001D4A7A">
      <w:pPr>
        <w:spacing w:after="0" w:line="24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1D4A7A" w:rsidRPr="001D4A7A" w:rsidRDefault="001D4A7A" w:rsidP="001D4A7A">
      <w:pPr>
        <w:spacing w:after="0" w:line="2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3.1. Forma përshkruese projekt propozimit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Plotësimi i formularit të projekt propozimit është pjesë e dokumentacionit të detyrueshëm. Ajo përmban të dhëna në lidhje me aplikuesin dhe partnerët si dhe të dhëna mbi përmbajtjen e projektit/programit për të cilin kërkohet financim nga burimet publike.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Në rast se në formën e dorëzuar mungojnë të dhënat në lidhje me përmbajtjen e projektit, aplikimi nuk do të merret në konsideratë.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 është e nevojshme të plotësohet me kompjuter. Nëse forma është plotësuar me dorë nuk do të merren në konsideratë. Nëse forma përshkruese përmban të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meta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më sipër, aplikimi do të konsiderohet i pavlefshëm.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15" w:name="_Toc469306986"/>
      <w:bookmarkEnd w:id="15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3.2 Përmbajtja e formës Buxhetit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Formulari i propozim Buxhetit është pjesë e dokumentacionit të detyrueshëm. Propozim Buxheti i dorëzuar duhet të përmbaj informacion për të gjitha shpenzimet direkte dhe indirekte të projektit/programit të propozuar për financim.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Vini re: Nëse forma e buxhetit nuk është e plotësuar në tërësi, apo nuk është dorëzuar në formën përkatëse aplikimi nuk do të merret në konsideratë.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Forma është e nevojshme të plotësohet me kompjuter. Nëse forma është plotësuar me dorë nuk do të merret në konsideratë.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16" w:name="_Toc469306987"/>
      <w:bookmarkEnd w:id="16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3.3 Ku dhe si ta dorëzoni aplikacionin?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Format e detyrueshme dhe dokumentacioni i kërkuar duhet të dërgohen në formë fizike, të shtypur (një origjinal) dhe në formë elektronike (në CD ose USB). Format e detyrueshme duhet të jenë të nënshkruara nga përfaqësuesi i autorizuar dhe të vulosura me vulën zyrtare të organizatës. Dokumentacioni në formë elektronike (në CD ose USB) duhet të ketë të njëjtën përmbajtje, pra të jetë identik me versionin e shtypur. Dokumentacioni i shtypur dhe ai elektronik në CD ose USB duhet të vendosen në një zarf të mbyllur.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lastRenderedPageBreak/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Aplikacioni origjinal duhet të dërgohet me postë ose në person (dhe të dorëzohet në Zyrën përkatëse). Në pjesën e jashtme të zarfit duhet të shënohet emri i thirrjes publike, së bashku me emrin e plotë dhe adresën e aplikuesit dhe shënimin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"Të mos të hapet para takimit të Komisionit Vlerësues"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Aplikacionet duhet të dërgohen në adresën e mëposhtme: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tbl>
      <w:tblPr>
        <w:tblW w:w="4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</w:tblGrid>
      <w:tr w:rsidR="001D4A7A" w:rsidRPr="001D4A7A" w:rsidTr="001D4A7A">
        <w:trPr>
          <w:trHeight w:val="1080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D4A7A" w:rsidRPr="001D4A7A" w:rsidRDefault="001D4A7A" w:rsidP="001D4A7A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table02"/>
            <w:bookmarkEnd w:id="17"/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Komuna e Lipjanit</w:t>
            </w: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0C0C0"/>
              </w:rPr>
              <w:t> </w:t>
            </w: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0C0C0"/>
              </w:rPr>
              <w:br/>
            </w: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Zyra e për shërbim me publikun</w:t>
            </w:r>
            <w:proofErr w:type="gramStart"/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,sporteli</w:t>
            </w:r>
            <w:proofErr w:type="gramEnd"/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3</w:t>
            </w:r>
          </w:p>
          <w:p w:rsidR="001D4A7A" w:rsidRPr="001D4A7A" w:rsidRDefault="001D4A7A" w:rsidP="001D4A7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Rruga ,,Shqipëria”</w:t>
            </w:r>
          </w:p>
          <w:p w:rsidR="001D4A7A" w:rsidRPr="001D4A7A" w:rsidRDefault="001D4A7A" w:rsidP="001D4A7A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4A7A" w:rsidRPr="001D4A7A" w:rsidRDefault="001D4A7A" w:rsidP="001D4A7A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A">
              <w:rPr>
                <w:rFonts w:ascii="Times New Roman" w:eastAsia="Times New Roman" w:hAnsi="Times New Roman" w:cs="Times New Roman"/>
                <w:sz w:val="24"/>
                <w:szCs w:val="24"/>
              </w:rPr>
              <w:t>"Të mos hapet para mbledhjes së Komisionit Vlerësues"</w:t>
            </w:r>
          </w:p>
        </w:tc>
      </w:tr>
    </w:tbl>
    <w:p w:rsidR="001D4A7A" w:rsidRPr="001D4A7A" w:rsidRDefault="001D4A7A" w:rsidP="001D4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4A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18" w:name="_Toc469306988"/>
      <w:bookmarkEnd w:id="18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3.4 Afati i fundit për dërgimin e aplikacioneve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thirrjes është deri më: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15.10.2019, ora 15.00h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Kërkesa është dorëzuar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periudhës së thirrjes nëse vula pranuese tregon se është marrë në postë deri në fund të datës së thirrjes, si afati i fundit për dorëzimin. Në rast se kërkesa është paraqitur personalisht në Zyrë, aplikanti do ti lëshohet një vërtetim se aplikacioni është pranuar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periudhës së konkursit.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Të gjitha aplikacionet e dërguara pas afatit nuk do të merren parasysh.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ind w:left="360" w:hanging="36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1.5</w:t>
      </w:r>
      <w:r w:rsidRPr="001D4A7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     </w:t>
      </w:r>
      <w:bookmarkStart w:id="19" w:name="_Toc469306989"/>
      <w:bookmarkEnd w:id="19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Si të kontaktoni nëse keni ndonjë pyetje?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gjitha pyetjet në lidhje me thirrjen mund të bëhen vetëm në mënyrë elektronike, duke i dërguar një kërkesë në adresën e mëposhtme: bekim.zaskoku@rks-gov.net,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më vonë se 8 ditë para skadimit të thirrjes.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Për të siguruar trajtim të barabartë të të gjithë aplikantëve të mundshëm, një ofrues i mbështetjes financiare publike nuk mund të japë një mendim paraprak për pranueshmërinë e aplikantëve, partnerët, veprimet apo shpenzimet e përmendura në kërkesë.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ind w:left="360" w:hanging="36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2.</w:t>
      </w:r>
      <w:r w:rsidRPr="001D4A7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     </w:t>
      </w: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 </w:t>
      </w:r>
      <w:bookmarkStart w:id="20" w:name="_Toc469306990"/>
      <w:bookmarkEnd w:id="20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VLERËSIMI DHE NDARJA E FONDEVE</w:t>
      </w:r>
    </w:p>
    <w:p w:rsidR="001D4A7A" w:rsidRPr="001D4A7A" w:rsidRDefault="001D4A7A" w:rsidP="001D4A7A">
      <w:pPr>
        <w:spacing w:before="200" w:after="0" w:line="260" w:lineRule="atLeast"/>
        <w:ind w:left="360" w:hanging="36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1.1</w:t>
      </w:r>
      <w:r w:rsidRPr="001D4A7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     </w:t>
      </w:r>
      <w:bookmarkStart w:id="21" w:name="_Toc469306991"/>
      <w:bookmarkEnd w:id="21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Aplikacionet e pranuara do të kalojnë nëpër procedurën e mëposhtme: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4.1.1 Ofruesi i mbështetjes financiare do të themeloj një komision vlerësues të përbërë nga 5 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anëtarë nga zyrtar të institucionit dhe ekspert tjerë të jashtëm, i cili ka për detyrë të vlerësoj aplikacionet nëse i plotësojnë kushtet formale të thirrjes publike.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Pas kontrollimit të gjitha aplikacioneve të pranuara, komisioni do të përgatis një listë të të gjitha aplikantëve që i plotësojnë kushtet për tu vlerësuar përmbajtja e projekteve të tyre, dhe një listë të aplikantëve të cilët nuk i plotësojnë kushtet e përcaktuara të konkurrencës.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Ofruesi i mbështetjes financiare do të njoftojë me shkrim të gjithë aplikantët të cilët nuk i plotësojnë kërkesat dhe arsyet e refuzimit të aplikimit të tyre.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4.1.2 Në fazën e dytë do të bëhet vlerësimi i përmbajtjes së aplikimeve nga ana e Komisionit vlerësues i përbërë nga 5 anëtarë. Çdo aplikacion i pranuar do të vlerësohet në bazë të formularit të vlerësimit.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lastRenderedPageBreak/>
        <w:t> </w:t>
      </w:r>
    </w:p>
    <w:p w:rsidR="001D4A7A" w:rsidRPr="001D4A7A" w:rsidRDefault="001D4A7A" w:rsidP="001D4A7A">
      <w:pPr>
        <w:spacing w:before="200" w:after="0" w:line="260" w:lineRule="atLeast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 </w:t>
      </w:r>
    </w:p>
    <w:p w:rsidR="001D4A7A" w:rsidRPr="001D4A7A" w:rsidRDefault="001D4A7A" w:rsidP="001D4A7A">
      <w:pPr>
        <w:spacing w:before="200" w:after="0" w:line="260" w:lineRule="atLeast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br/>
      </w:r>
      <w:bookmarkStart w:id="22" w:name="_Toc469306992"/>
      <w:bookmarkEnd w:id="22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4.2</w:t>
      </w:r>
      <w:proofErr w:type="gramStart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  Dokumentacion</w:t>
      </w:r>
      <w:proofErr w:type="gramEnd"/>
      <w:r w:rsidRPr="001D4A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 xml:space="preserve"> shtesë dhe Kontraktimi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shmangur shpenzimet e panevojshme shtesë kur të aplikoni për konkurrencën, një ofrues i burimeve financiare do të kërkojë dokumentacion shtesë vetëm nga ata aplikantë të cilët, në bazë të procesit të vlerësimit të aplikacioneve, ka hyrë në listën e përkohshme të projekteve/programeve të përzgjedhura për financim.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Para nënshkrimit përfundimtar të kontratës, dhe në bazë të vlerësimit të Komisionit, ofruesi mund të kërkojë shqyrtimin e formës së buxhetit për kostot e vlerësuara që korrespondojnë me shpenzimet aktuale në lidhje me aktivitetet e propozuara.</w:t>
      </w:r>
    </w:p>
    <w:p w:rsidR="001D4A7A" w:rsidRPr="001D4A7A" w:rsidRDefault="001D4A7A" w:rsidP="001D4A7A">
      <w:pPr>
        <w:spacing w:after="20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 shtesë: 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papaguara, nëse është e aplikueshme.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 vlerësues do të bëjë kontrollimin e dokumentacionit shtesë.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Nëse aplikuesi nuk paraqet dokumentacionin e kërkuar shtesë 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kohës së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caktuar (jo më pak se 5 ditë)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, aplikimi do të refuzohet.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Nëse pas kontrollimit të dokumenteve mbështetëse vendoset se disa nga aplikuesit nuk i plotësojnë kushtet e kërkuara të thirrjes publike, nuk do të merret në konsideratë për nënshkrim të kontratës.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Në raste të tilla, projektet nga lista rezervë</w:t>
      </w:r>
      <w:proofErr w:type="gramStart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 do</w:t>
      </w:r>
      <w:proofErr w:type="gramEnd"/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aktivizohen nëse, pas kontrollimit të dokumenteve mbështetëse dhe pasi të konstatohet nga institucioni se ka mjete të mjaftueshme për të kontraktuar projekte të tjera.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Pas kontrollit të dokumentacionit të paraqitur, Komisioni do të propozojë listën përfundimtare të projekteve/programeve të përzgjedhura për financim.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Njoftimi i aplikuesve -</w:t>
      </w:r>
      <w:r w:rsidRPr="001D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Të gjithë aplikantët aplikimet e të cilëve kanë hyrë në procesin e vlerësimit do të jenë të informuar në lidhje me vendimin për ndarjen e projekteve/programeve në kuadër të thirrjes.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ind w:left="360" w:hanging="36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color w:val="4F81BD"/>
          <w:sz w:val="24"/>
          <w:szCs w:val="24"/>
        </w:rPr>
        <w:t>3.</w:t>
      </w:r>
      <w:r w:rsidRPr="001D4A7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     </w:t>
      </w:r>
      <w:bookmarkStart w:id="23" w:name="_Toc469306993"/>
      <w:bookmarkEnd w:id="23"/>
      <w:r w:rsidRPr="001D4A7A">
        <w:rPr>
          <w:rFonts w:ascii="Times New Roman" w:eastAsia="Times New Roman" w:hAnsi="Times New Roman" w:cs="Times New Roman"/>
          <w:color w:val="4F81BD"/>
          <w:sz w:val="24"/>
          <w:szCs w:val="24"/>
        </w:rPr>
        <w:t>KALENDARI INDIKATIV I REALIZIMIT TË THIRRJES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Fazat e procedurës së thirrjes (vendosni datat)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Afati i fundit për aplikimet 15.10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.2019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fundit për dërgimin e pyetjeve në lidhje me thirrjen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10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.10.2019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fundit për dërgimin e përgjigjeve për pyetjet që lidhen me thirrjen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12.10.2019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 i fundit për verifikimin e përmbushjes së kritereve procedurale dhe njoftimit të palëve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0C0C0"/>
        </w:rPr>
        <w:t>(sipas rregullores se MF 04/2017)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fundit për vlerësimin e aplikimeve në mënyrë përmbajtjesore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0C0C0"/>
        </w:rPr>
        <w:t>(sipas rregullores se MF 04/2017)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fundit për kërkesën për dorëzimin e dokumenteve shtesë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0C0C0"/>
        </w:rPr>
        <w:t>(sipas rregullores se MF 04/2017)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fundit për dorëzimin e dokumentacionit të kërkuar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0C0C0"/>
        </w:rPr>
        <w:t>(sipas rregullores se MF 04/2017)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i fundit për publikimin e vendimit për ndarjen e fondeve publike dhe njoftimi aplikantëve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0C0C0"/>
        </w:rPr>
        <w:t>(sipas rregullores se MF 04/2017)</w:t>
      </w:r>
    </w:p>
    <w:p w:rsidR="001D4A7A" w:rsidRPr="001D4A7A" w:rsidRDefault="001D4A7A" w:rsidP="001D4A7A">
      <w:pPr>
        <w:spacing w:after="0" w:line="260" w:lineRule="atLeast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Afati për kontraktim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0C0C0"/>
        </w:rPr>
        <w:t>(sipas rregullores se MF 04/2017)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before="200" w:after="0" w:line="260" w:lineRule="atLeast"/>
        <w:ind w:left="360" w:hanging="36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D4A7A">
        <w:rPr>
          <w:rFonts w:ascii="Times New Roman" w:eastAsia="Times New Roman" w:hAnsi="Times New Roman" w:cs="Times New Roman"/>
          <w:color w:val="4F81BD"/>
          <w:sz w:val="24"/>
          <w:szCs w:val="24"/>
        </w:rPr>
        <w:t>4.</w:t>
      </w:r>
      <w:r w:rsidRPr="001D4A7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     </w:t>
      </w:r>
      <w:bookmarkStart w:id="24" w:name="_Toc469306994"/>
      <w:bookmarkEnd w:id="24"/>
      <w:r w:rsidRPr="001D4A7A">
        <w:rPr>
          <w:rFonts w:ascii="Times New Roman" w:eastAsia="Times New Roman" w:hAnsi="Times New Roman" w:cs="Times New Roman"/>
          <w:color w:val="4F81BD"/>
          <w:sz w:val="24"/>
          <w:szCs w:val="24"/>
        </w:rPr>
        <w:t>LISTA E DOKUMENTEVE TË THIRRJES PUBLIKE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FORMULARËT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ind w:left="11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Formulari i Aplikacionit për projekt/programit (word)</w:t>
      </w:r>
    </w:p>
    <w:p w:rsidR="001D4A7A" w:rsidRPr="001D4A7A" w:rsidRDefault="001D4A7A" w:rsidP="001D4A7A">
      <w:pPr>
        <w:spacing w:after="0" w:line="260" w:lineRule="atLeast"/>
        <w:ind w:left="11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Formulari i Propozim buxhetit (format Excel)</w:t>
      </w:r>
    </w:p>
    <w:p w:rsidR="001D4A7A" w:rsidRPr="001D4A7A" w:rsidRDefault="001D4A7A" w:rsidP="001D4A7A">
      <w:pPr>
        <w:spacing w:after="0" w:line="260" w:lineRule="atLeast"/>
        <w:ind w:left="11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Formulari i deklaratës për mungesë të financimit të dyfishtë (format word)</w:t>
      </w:r>
    </w:p>
    <w:p w:rsidR="001D4A7A" w:rsidRPr="001D4A7A" w:rsidRDefault="001D4A7A" w:rsidP="001D4A7A">
      <w:pPr>
        <w:spacing w:after="200" w:line="260" w:lineRule="atLeast"/>
        <w:ind w:left="11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F12 Formular i deklaratës se partneritetit (e shtypur nëse aplikohet)</w:t>
      </w:r>
    </w:p>
    <w:p w:rsidR="001D4A7A" w:rsidRPr="001D4A7A" w:rsidRDefault="001D4A7A" w:rsidP="001D4A7A">
      <w:pPr>
        <w:spacing w:after="0" w:line="260" w:lineRule="atLeast"/>
        <w:ind w:left="11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F13 Forma e deklaratës se projekteve të financuara (e shtypur dhe CD)</w:t>
      </w:r>
    </w:p>
    <w:p w:rsidR="001D4A7A" w:rsidRPr="001D4A7A" w:rsidRDefault="001D4A7A" w:rsidP="001D4A7A">
      <w:pPr>
        <w:spacing w:after="0" w:line="260" w:lineRule="atLeast"/>
        <w:ind w:left="11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Formulari i Raportit Financiar (formatin Excel)</w:t>
      </w:r>
    </w:p>
    <w:p w:rsidR="001D4A7A" w:rsidRPr="001D4A7A" w:rsidRDefault="001D4A7A" w:rsidP="001D4A7A">
      <w:pPr>
        <w:spacing w:after="0" w:line="260" w:lineRule="atLeast"/>
        <w:ind w:left="1160" w:hanging="36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</w:t>
      </w:r>
      <w:r w:rsidRPr="001D4A7A">
        <w:rPr>
          <w:rFonts w:ascii="Calibri" w:eastAsia="Times New Roman" w:hAnsi="Calibri" w:cs="Calibri"/>
          <w:color w:val="000000"/>
        </w:rPr>
        <w:t>     </w:t>
      </w:r>
      <w:r w:rsidRPr="001D4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Formulari i raportit narrativ-përshkrues (format word)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200" w:line="260" w:lineRule="atLeast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D4A7A" w:rsidRPr="001D4A7A" w:rsidRDefault="001D4A7A" w:rsidP="001D4A7A">
      <w:pPr>
        <w:spacing w:after="0" w:line="260" w:lineRule="atLeast"/>
        <w:ind w:left="1080"/>
        <w:jc w:val="both"/>
        <w:rPr>
          <w:rFonts w:ascii="Calibri" w:eastAsia="Times New Roman" w:hAnsi="Calibri" w:cs="Calibri"/>
          <w:color w:val="000000"/>
        </w:rPr>
      </w:pPr>
      <w:r w:rsidRPr="001D4A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A7A" w:rsidRPr="001D4A7A" w:rsidRDefault="001D4A7A" w:rsidP="001D4A7A">
      <w:pPr>
        <w:spacing w:after="200" w:line="260" w:lineRule="atLeast"/>
        <w:ind w:left="720"/>
        <w:rPr>
          <w:rFonts w:ascii="Calibri" w:eastAsia="Times New Roman" w:hAnsi="Calibri" w:cs="Calibri"/>
          <w:color w:val="000000"/>
        </w:rPr>
      </w:pPr>
      <w:r w:rsidRPr="001D4A7A">
        <w:rPr>
          <w:rFonts w:ascii="Calibri" w:eastAsia="Times New Roman" w:hAnsi="Calibri" w:cs="Calibri"/>
          <w:color w:val="000000"/>
        </w:rPr>
        <w:t> </w:t>
      </w:r>
    </w:p>
    <w:p w:rsidR="001618EF" w:rsidRDefault="001618EF"/>
    <w:sectPr w:rsidR="0016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7A"/>
    <w:rsid w:val="001618EF"/>
    <w:rsid w:val="001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0B138-4D3F-4105-B56F-2A16FEC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4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A7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0020normal">
    <w:name w:val="table_0020normal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normalchar">
    <w:name w:val="table_0020normal__char"/>
    <w:basedOn w:val="DefaultParagraphFont"/>
    <w:rsid w:val="001D4A7A"/>
  </w:style>
  <w:style w:type="character" w:customStyle="1" w:styleId="normalchar">
    <w:name w:val="normal__char"/>
    <w:basedOn w:val="DefaultParagraphFont"/>
    <w:rsid w:val="001D4A7A"/>
  </w:style>
  <w:style w:type="paragraph" w:customStyle="1" w:styleId="normal0">
    <w:name w:val="normal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0020heading">
    <w:name w:val="toc_0020heading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0020headingchar">
    <w:name w:val="toc_0020heading__char"/>
    <w:basedOn w:val="DefaultParagraphFont"/>
    <w:rsid w:val="001D4A7A"/>
  </w:style>
  <w:style w:type="paragraph" w:customStyle="1" w:styleId="body0020text00202">
    <w:name w:val="body_0020text_00202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00202char">
    <w:name w:val="body_0020text_00202__char"/>
    <w:basedOn w:val="DefaultParagraphFont"/>
    <w:rsid w:val="001D4A7A"/>
  </w:style>
  <w:style w:type="paragraph" w:customStyle="1" w:styleId="list0020paragraph">
    <w:name w:val="list_0020paragraph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D4A7A"/>
  </w:style>
  <w:style w:type="paragraph" w:styleId="NormalWeb">
    <w:name w:val="Normal (Web)"/>
    <w:basedOn w:val="Normal"/>
    <w:uiPriority w:val="99"/>
    <w:semiHidden/>
    <w:unhideWhenUsed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2char">
    <w:name w:val="heading_00202__char"/>
    <w:basedOn w:val="DefaultParagraphFont"/>
    <w:rsid w:val="001D4A7A"/>
  </w:style>
  <w:style w:type="character" w:customStyle="1" w:styleId="hyperlinkchar">
    <w:name w:val="hyperlink__char"/>
    <w:basedOn w:val="DefaultParagraphFont"/>
    <w:rsid w:val="001D4A7A"/>
  </w:style>
  <w:style w:type="paragraph" w:customStyle="1" w:styleId="no0020spacing">
    <w:name w:val="no_0020spacing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1D4A7A"/>
  </w:style>
  <w:style w:type="paragraph" w:customStyle="1" w:styleId="default">
    <w:name w:val="default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__char"/>
    <w:basedOn w:val="DefaultParagraphFont"/>
    <w:rsid w:val="001D4A7A"/>
  </w:style>
  <w:style w:type="paragraph" w:customStyle="1" w:styleId="heading00202">
    <w:name w:val="heading_00202"/>
    <w:basedOn w:val="Normal"/>
    <w:rsid w:val="001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ks-gov.net/owa/redir.aspx?SURL=W2u4rsqzrBaQBxB0ABz-1w0awkHzK_0RRL4ClGh93KcUd5CLwUDXCGgAdAB0AHAAcwA6AC8ALwBrAGsALgByAGsAcwAtAGcAbwB2AC4AbgBlAHQALwBsAGkAcABqAGEAbgAvAA..&amp;URL=https%3a%2f%2fkk.rks-gov.net%2flipjan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Bekim G. Shabani</dc:creator>
  <cp:keywords/>
  <dc:description/>
  <cp:lastModifiedBy>Bekim G. Shabani</cp:lastModifiedBy>
  <cp:revision>1</cp:revision>
  <dcterms:created xsi:type="dcterms:W3CDTF">2019-09-24T07:34:00Z</dcterms:created>
  <dcterms:modified xsi:type="dcterms:W3CDTF">2019-09-24T07:39:00Z</dcterms:modified>
</cp:coreProperties>
</file>